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Справка по итогам воспитательной работы за первое полугодие 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учебного года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 xml:space="preserve"> анализ воспитательной работы </w:t>
      </w:r>
      <w:r>
        <w:rPr>
          <w:rFonts w:hAnsi="Times New Roman" w:cs="Times New Roman"/>
          <w:color w:val="000000"/>
          <w:sz w:val="24"/>
          <w:szCs w:val="24"/>
        </w:rPr>
        <w:t>МБОУ «СОШ № 1»</w:t>
      </w:r>
      <w:r>
        <w:rPr>
          <w:rFonts w:hAnsi="Times New Roman" w:cs="Times New Roman"/>
          <w:color w:val="000000"/>
          <w:sz w:val="24"/>
          <w:szCs w:val="24"/>
        </w:rPr>
        <w:t xml:space="preserve"> за первое полугодие 20</w:t>
      </w:r>
      <w:r>
        <w:rPr>
          <w:rFonts w:hAnsi="Times New Roman" w:cs="Times New Roman"/>
          <w:color w:val="000000"/>
          <w:sz w:val="24"/>
          <w:szCs w:val="24"/>
        </w:rPr>
        <w:t>23/24</w:t>
      </w:r>
      <w:r>
        <w:rPr>
          <w:rFonts w:hAnsi="Times New Roman" w:cs="Times New Roman"/>
          <w:color w:val="000000"/>
          <w:sz w:val="24"/>
          <w:szCs w:val="24"/>
        </w:rPr>
        <w:t> учебного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Методы:</w:t>
      </w:r>
      <w:r>
        <w:rPr>
          <w:rFonts w:hAnsi="Times New Roman" w:cs="Times New Roman"/>
          <w:color w:val="000000"/>
          <w:sz w:val="24"/>
          <w:szCs w:val="24"/>
        </w:rPr>
        <w:t xml:space="preserve"> анализ школьной документации; собеседование с советником директора по воспитанию, руководителями ШМО, классными руководителями, учителями-предметниками, социальным педагогом, педагогом-психологом; посещение уроков, классных и общешкольных мероприятий.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Анализ воспитательной работы проводился в соответствии с критериями самоанализа, закрепленными в соответствующем разделе рабочей программы воспитания, на основании анализа воспитательной деятельности классных руководителей, педагогов-предметников, советника директора по воспитанию. Данные для анализа собраны и предоставлены </w:t>
      </w:r>
      <w:r>
        <w:rPr>
          <w:rFonts w:hAnsi="Times New Roman" w:cs="Times New Roman"/>
          <w:color w:val="000000"/>
          <w:sz w:val="24"/>
          <w:szCs w:val="24"/>
        </w:rPr>
        <w:t xml:space="preserve">заместителем директора по воспитательной работе Новиковой О.В.; советником директора по воспитанию и взаимодействию с ДОО Журавлевым Е.В.; руководителем ШМО классных руководителей Голоменцевой О.М., руководителем ШМО учителей начальных классов Ивановым С.С., руководителями предметных ШМО: Горячевой И.Н., Семенцовой С.В., Болотовой Ю.С., Темновым А.В., Шептуновой П.Р.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Составитель справки: </w:t>
      </w:r>
      <w:r>
        <w:rPr>
          <w:rFonts w:hAnsi="Times New Roman" w:cs="Times New Roman"/>
          <w:color w:val="000000"/>
          <w:sz w:val="24"/>
          <w:szCs w:val="24"/>
        </w:rPr>
        <w:t xml:space="preserve">заместитель директора по воспитательной работе </w:t>
      </w:r>
      <w:r>
        <w:rPr>
          <w:rFonts w:hAnsi="Times New Roman" w:cs="Times New Roman"/>
          <w:color w:val="000000"/>
          <w:sz w:val="24"/>
          <w:szCs w:val="24"/>
        </w:rPr>
        <w:t>Новикова О.В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Дата составления справки: </w:t>
      </w:r>
      <w:r>
        <w:rPr>
          <w:rFonts w:hAnsi="Times New Roman" w:cs="Times New Roman"/>
          <w:color w:val="000000"/>
          <w:sz w:val="24"/>
          <w:szCs w:val="24"/>
        </w:rPr>
        <w:t>28.12.2023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Целью воспитательной работы </w:t>
      </w:r>
      <w:r>
        <w:rPr>
          <w:rFonts w:hAnsi="Times New Roman" w:cs="Times New Roman"/>
          <w:color w:val="000000"/>
          <w:sz w:val="24"/>
          <w:szCs w:val="24"/>
        </w:rPr>
        <w:t>МБОУ «СОШ № 1»</w:t>
      </w:r>
      <w:r>
        <w:rPr>
          <w:rFonts w:hAnsi="Times New Roman" w:cs="Times New Roman"/>
          <w:color w:val="000000"/>
          <w:sz w:val="24"/>
          <w:szCs w:val="24"/>
        </w:rPr>
        <w:t xml:space="preserve"> является создание в школе условий для личностного развития школьников, которое проявляется: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усвоении ими основных норм поведения в обществе и традиций общества, в котором они живут;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приобретении школьниками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 позиции.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Педагогический коллектив реализует цель воспитательной работы школы через решение следующих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реализовывать воспитательные возможности основных школьных дел, поддерживать традиции их коллективного планирования, организации, проведения и анализа в школьном сообществе;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для школьников экскурсии, экспедиции, походы и реализовывать их воспитательный потенциал;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профориентационную работу со школьниками;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профилактическую работу;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развивать предметно-пространственную среду школы и реализовывать ее воспитательные возможности;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 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развивать социальное партнерство и использовать его потенциал в воспитательной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Воспитательная работа в школе осуществляется в рамках инвариантных модулей рабочей программы воспитания: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Урочная деятельность</w:t>
      </w:r>
      <w:r>
        <w:rPr>
          <w:rFonts w:hAnsi="Times New Roman" w:cs="Times New Roman"/>
          <w:color w:val="000000"/>
          <w:sz w:val="24"/>
          <w:szCs w:val="24"/>
        </w:rPr>
        <w:t>», </w:t>
      </w:r>
      <w:r>
        <w:rPr>
          <w:rFonts w:hAnsi="Times New Roman" w:cs="Times New Roman"/>
          <w:color w:val="000000"/>
          <w:sz w:val="24"/>
          <w:szCs w:val="24"/>
        </w:rPr>
        <w:t>«Внеурочная деятельность», </w:t>
      </w:r>
      <w:r>
        <w:rPr>
          <w:rFonts w:hAnsi="Times New Roman" w:cs="Times New Roman"/>
          <w:color w:val="000000"/>
          <w:sz w:val="24"/>
          <w:szCs w:val="24"/>
        </w:rPr>
        <w:t>«Классное руководство», «Взаимодействие с 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 (законными представителями)», </w:t>
      </w:r>
      <w:r>
        <w:rPr>
          <w:rFonts w:hAnsi="Times New Roman" w:cs="Times New Roman"/>
          <w:color w:val="000000"/>
          <w:sz w:val="24"/>
          <w:szCs w:val="24"/>
        </w:rPr>
        <w:t>«Самоуправление», «Профориентация», «Основные школьные дела», «Внешкольная деятельность», «Профилактика и безопасность», «Организация предметно-пространственной среды», «Социальное партнерство».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и формы воспитательной деятельности рабочей программы модулей воспитания конкретизированы в календарных планах воспитательной работы НОО, ООО и СОО.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 30.06.2020 № 16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(COVID-19)"» массовые мероприятия в закрытых помещениях, а также с привлечением лиц из иных организаций в образовательных организациях запрещены до 01.01.2024. Общешкольные воспитательные мероприятия </w:t>
      </w:r>
      <w:r>
        <w:rPr>
          <w:rFonts w:hAnsi="Times New Roman" w:cs="Times New Roman"/>
          <w:color w:val="000000"/>
          <w:sz w:val="24"/>
          <w:szCs w:val="24"/>
        </w:rPr>
        <w:t>в сентябре и начале 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 проводились на открытом воздухе по возможности, в классах –</w:t>
      </w:r>
      <w:r>
        <w:rPr>
          <w:rFonts w:hAnsi="Times New Roman" w:cs="Times New Roman"/>
          <w:color w:val="000000"/>
          <w:sz w:val="24"/>
          <w:szCs w:val="24"/>
        </w:rPr>
        <w:t>классными руководителями в очном и </w:t>
      </w:r>
      <w:r>
        <w:rPr>
          <w:rFonts w:hAnsi="Times New Roman" w:cs="Times New Roman"/>
          <w:color w:val="000000"/>
          <w:sz w:val="24"/>
          <w:szCs w:val="24"/>
        </w:rPr>
        <w:t>дистанционном формате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 анализа воспитательной работы школы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анализа сгруппированы в соответствии с критериями самоанализа воспитательной работы.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Качество реализации классными руководителями планов воспитательной работы с классом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Положительная динамика охвата внеурочной деятельностью/дополнительным образованием в процентах от предыдущего периода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1–4-е классы – </w:t>
      </w:r>
      <w:r>
        <w:rPr>
          <w:rFonts w:hAnsi="Times New Roman" w:cs="Times New Roman"/>
          <w:color w:val="000000"/>
          <w:sz w:val="24"/>
          <w:szCs w:val="24"/>
        </w:rPr>
        <w:t>стабильно на уровне 97–98 процентов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5–9-е классы – </w:t>
      </w:r>
      <w:r>
        <w:rPr>
          <w:rFonts w:hAnsi="Times New Roman" w:cs="Times New Roman"/>
          <w:color w:val="000000"/>
          <w:sz w:val="24"/>
          <w:szCs w:val="24"/>
        </w:rPr>
        <w:t>стабильно на уровне 94 процентов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10–11-е классы – </w:t>
      </w:r>
      <w:r>
        <w:rPr>
          <w:rFonts w:hAnsi="Times New Roman" w:cs="Times New Roman"/>
          <w:color w:val="000000"/>
          <w:sz w:val="24"/>
          <w:szCs w:val="24"/>
        </w:rPr>
        <w:t>понижение на 1 процент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Отсутствие отказов учеников или родителей от посещения внеурочных занятий «Разговоры о важном» на уровне 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1–4-е классы – </w:t>
      </w:r>
      <w:r>
        <w:rPr>
          <w:rFonts w:hAnsi="Times New Roman" w:cs="Times New Roman"/>
          <w:color w:val="000000"/>
          <w:sz w:val="24"/>
          <w:szCs w:val="24"/>
        </w:rPr>
        <w:t>отказов не зафиксировано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5–9-е классы – </w:t>
      </w:r>
      <w:r>
        <w:rPr>
          <w:rFonts w:hAnsi="Times New Roman" w:cs="Times New Roman"/>
          <w:color w:val="000000"/>
          <w:sz w:val="24"/>
          <w:szCs w:val="24"/>
        </w:rPr>
        <w:t>отказов не зафиксировано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10–11-е классы – </w:t>
      </w:r>
      <w:r>
        <w:rPr>
          <w:rFonts w:hAnsi="Times New Roman" w:cs="Times New Roman"/>
          <w:color w:val="000000"/>
          <w:sz w:val="24"/>
          <w:szCs w:val="24"/>
        </w:rPr>
        <w:t>отказов не зафиксировано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Отрицательная динамика негативных проявлений – дисциплинарных нарушений, конфликтных ситуаций в классном коллективе и т. п. в процентах от предыдущего периода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1–4-е классы – </w:t>
      </w:r>
      <w:r>
        <w:rPr>
          <w:rFonts w:hAnsi="Times New Roman" w:cs="Times New Roman"/>
          <w:color w:val="000000"/>
          <w:sz w:val="24"/>
          <w:szCs w:val="24"/>
        </w:rPr>
        <w:t>негативных проявлений не выявлено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5–9-е классы – </w:t>
      </w:r>
      <w:r>
        <w:rPr>
          <w:rFonts w:hAnsi="Times New Roman" w:cs="Times New Roman"/>
          <w:color w:val="000000"/>
          <w:sz w:val="24"/>
          <w:szCs w:val="24"/>
        </w:rPr>
        <w:t>динамика отрицательная (снижение на 1–3%)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10–11-е классы – </w:t>
      </w:r>
      <w:r>
        <w:rPr>
          <w:rFonts w:hAnsi="Times New Roman" w:cs="Times New Roman"/>
          <w:color w:val="000000"/>
          <w:sz w:val="24"/>
          <w:szCs w:val="24"/>
        </w:rPr>
        <w:t>негативных проявлений не выявлено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Отрицательная динамика проявлений буллинга/кибербуллинга или его отсутствие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1–4-е классы – </w:t>
      </w:r>
      <w:r>
        <w:rPr>
          <w:rFonts w:hAnsi="Times New Roman" w:cs="Times New Roman"/>
          <w:color w:val="000000"/>
          <w:sz w:val="24"/>
          <w:szCs w:val="24"/>
        </w:rPr>
        <w:t>случаи буллинга/кибербуллинга не зафиксированы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5–9-е классы – </w:t>
      </w:r>
      <w:r>
        <w:rPr>
          <w:rFonts w:hAnsi="Times New Roman" w:cs="Times New Roman"/>
          <w:color w:val="000000"/>
          <w:sz w:val="24"/>
          <w:szCs w:val="24"/>
        </w:rPr>
        <w:t>динамика положительная: з</w:t>
      </w:r>
      <w:r>
        <w:rPr>
          <w:rFonts w:hAnsi="Times New Roman" w:cs="Times New Roman"/>
          <w:color w:val="000000"/>
          <w:sz w:val="24"/>
          <w:szCs w:val="24"/>
        </w:rPr>
        <w:t>афиксирован случай кибербуллинга в 5 «В» классе по отношению к ученику группы риска Мельникову Максиму (неблагополучная семья) со стороны его одноклассников</w:t>
      </w:r>
      <w:r>
        <w:rPr>
          <w:rFonts w:hAnsi="Times New Roman" w:cs="Times New Roman"/>
          <w:color w:val="000000"/>
          <w:sz w:val="24"/>
          <w:szCs w:val="24"/>
        </w:rPr>
        <w:t> Леонова Ивана, Самойлова Дмитрия, Рыкова Алексея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10–11-е классы – </w:t>
      </w:r>
      <w:r>
        <w:rPr>
          <w:rFonts w:hAnsi="Times New Roman" w:cs="Times New Roman"/>
          <w:color w:val="000000"/>
          <w:sz w:val="24"/>
          <w:szCs w:val="24"/>
        </w:rPr>
        <w:t>случаи буллинга/кибербуллинг не зафиксированы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Динамика охвата членов классных коллективов результативным исполнением общественных поручений в процентах от общего числа учеников класса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1–4-е классы – </w:t>
      </w:r>
      <w:r>
        <w:rPr>
          <w:rFonts w:hAnsi="Times New Roman" w:cs="Times New Roman"/>
          <w:color w:val="000000"/>
          <w:sz w:val="24"/>
          <w:szCs w:val="24"/>
        </w:rPr>
        <w:t>стабильный (95%)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5–9-е классы – </w:t>
      </w:r>
      <w:r>
        <w:rPr>
          <w:rFonts w:hAnsi="Times New Roman" w:cs="Times New Roman"/>
          <w:color w:val="000000"/>
          <w:sz w:val="24"/>
          <w:szCs w:val="24"/>
        </w:rPr>
        <w:t>повышение на 4 процента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10–11-е классы – </w:t>
      </w:r>
      <w:r>
        <w:rPr>
          <w:rFonts w:hAnsi="Times New Roman" w:cs="Times New Roman"/>
          <w:color w:val="000000"/>
          <w:sz w:val="24"/>
          <w:szCs w:val="24"/>
        </w:rPr>
        <w:t>повышение на 2 процента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среднем по школе – </w:t>
      </w:r>
      <w:r>
        <w:rPr>
          <w:rFonts w:hAnsi="Times New Roman" w:cs="Times New Roman"/>
          <w:color w:val="000000"/>
          <w:sz w:val="24"/>
          <w:szCs w:val="24"/>
        </w:rPr>
        <w:t>повышение на 3 процента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Положительная динамика уровня патриотизма у обучающихся 2–11-х классов по сравнению с предыдущим периодом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Выявлено </w:t>
      </w:r>
      <w:r>
        <w:rPr>
          <w:rFonts w:hAnsi="Times New Roman" w:cs="Times New Roman"/>
          <w:color w:val="000000"/>
          <w:sz w:val="24"/>
          <w:szCs w:val="24"/>
        </w:rPr>
        <w:t>понижение</w:t>
      </w:r>
      <w:r>
        <w:rPr>
          <w:rFonts w:hAnsi="Times New Roman" w:cs="Times New Roman"/>
          <w:color w:val="000000"/>
          <w:sz w:val="24"/>
          <w:szCs w:val="24"/>
        </w:rPr>
        <w:t xml:space="preserve"> доли обучающихся с низким уровнем личностных результатов, которые характеризуют уровень сформированности патриотических качеств, на 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процент.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 Отсутствие отказов учеников или родителей от посещения внеурочных занятий «Россия – мои горизонты»: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1–4-е классы – </w:t>
      </w:r>
      <w:r>
        <w:rPr>
          <w:rFonts w:hAnsi="Times New Roman" w:cs="Times New Roman"/>
          <w:color w:val="000000"/>
          <w:sz w:val="24"/>
          <w:szCs w:val="24"/>
        </w:rPr>
        <w:t>отказов не зафиксировано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5–9-е классы – </w:t>
      </w:r>
      <w:r>
        <w:rPr>
          <w:rFonts w:hAnsi="Times New Roman" w:cs="Times New Roman"/>
          <w:color w:val="000000"/>
          <w:sz w:val="24"/>
          <w:szCs w:val="24"/>
        </w:rPr>
        <w:t>отказов не зафиксировано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10–11-е классы – </w:t>
      </w:r>
      <w:r>
        <w:rPr>
          <w:rFonts w:hAnsi="Times New Roman" w:cs="Times New Roman"/>
          <w:color w:val="000000"/>
          <w:sz w:val="24"/>
          <w:szCs w:val="24"/>
        </w:rPr>
        <w:t>отказов не зафиксировано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 Отсутствие случаев вандализма с участием учеников класса: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1–4-е классы – </w:t>
      </w:r>
      <w:r>
        <w:rPr>
          <w:rFonts w:hAnsi="Times New Roman" w:cs="Times New Roman"/>
          <w:color w:val="000000"/>
          <w:sz w:val="24"/>
          <w:szCs w:val="24"/>
        </w:rPr>
        <w:t>не зафиксировано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5–9-е классы – </w:t>
      </w:r>
      <w:r>
        <w:rPr>
          <w:rFonts w:hAnsi="Times New Roman" w:cs="Times New Roman"/>
          <w:color w:val="000000"/>
          <w:sz w:val="24"/>
          <w:szCs w:val="24"/>
        </w:rPr>
        <w:t>не зафиксировано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10–11-е классы – </w:t>
      </w:r>
      <w:r>
        <w:rPr>
          <w:rFonts w:hAnsi="Times New Roman" w:cs="Times New Roman"/>
          <w:color w:val="000000"/>
          <w:sz w:val="24"/>
          <w:szCs w:val="24"/>
        </w:rPr>
        <w:t>не зафиксировано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Качество организации внеурочной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Повышение охвата занятостью во внеурочной деятельности в процентах от общей численности контингента (в том числе во внеурочной деятельности патриотической направленности, внеурочной деятельности по направлению трудового воспитания и в рамках реализации профминимума):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1–4-е классы – </w:t>
      </w:r>
      <w:r>
        <w:rPr>
          <w:rFonts w:hAnsi="Times New Roman" w:cs="Times New Roman"/>
          <w:color w:val="000000"/>
          <w:sz w:val="24"/>
          <w:szCs w:val="24"/>
        </w:rPr>
        <w:t>стабильно на уровне 97–98 процентов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5–9-е классы – </w:t>
      </w:r>
      <w:r>
        <w:rPr>
          <w:rFonts w:hAnsi="Times New Roman" w:cs="Times New Roman"/>
          <w:color w:val="000000"/>
          <w:sz w:val="24"/>
          <w:szCs w:val="24"/>
        </w:rPr>
        <w:t>стабильно на уровне 94 процентов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10–11-е классы – </w:t>
      </w:r>
      <w:r>
        <w:rPr>
          <w:rFonts w:hAnsi="Times New Roman" w:cs="Times New Roman"/>
          <w:color w:val="000000"/>
          <w:sz w:val="24"/>
          <w:szCs w:val="24"/>
        </w:rPr>
        <w:t>понижение на 1 процент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во внеурочной деятельности патриотической направленности – </w:t>
      </w:r>
      <w:r>
        <w:rPr>
          <w:rFonts w:hAnsi="Times New Roman" w:cs="Times New Roman"/>
          <w:color w:val="000000"/>
          <w:sz w:val="24"/>
          <w:szCs w:val="24"/>
        </w:rPr>
        <w:t>повышение общего показателя на 3 процента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во внеурочной деятельности по направлению трудового воспитания – </w:t>
      </w:r>
      <w:r>
        <w:rPr>
          <w:rFonts w:hAnsi="Times New Roman" w:cs="Times New Roman"/>
          <w:color w:val="000000"/>
          <w:sz w:val="24"/>
          <w:szCs w:val="24"/>
        </w:rPr>
        <w:t>показатель стабилен (72%)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во внеурочной деятельности в рамках реализации профминимума – </w:t>
      </w:r>
      <w:r>
        <w:rPr>
          <w:rFonts w:hAnsi="Times New Roman" w:cs="Times New Roman"/>
          <w:color w:val="000000"/>
          <w:sz w:val="24"/>
          <w:szCs w:val="24"/>
        </w:rPr>
        <w:t>показатель стабилен (92</w:t>
      </w:r>
      <w:r>
        <w:rPr>
          <w:rFonts w:hAnsi="Times New Roman" w:cs="Times New Roman"/>
          <w:color w:val="000000"/>
          <w:sz w:val="24"/>
          <w:szCs w:val="24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Результативность внеурочной деятельности. Количество проведенных выставок, квизов, баттлов, хакатонов и иных мероприятий, которые способствуют развитию талантов школьников.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Проведено: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выставок – 5;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квизов – 2;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хакатонов – 2;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сравнению с предыдущим периодом наблюдается </w:t>
      </w:r>
      <w:r>
        <w:rPr>
          <w:rFonts w:hAnsi="Times New Roman" w:cs="Times New Roman"/>
          <w:color w:val="000000"/>
          <w:sz w:val="24"/>
          <w:szCs w:val="24"/>
        </w:rPr>
        <w:t>повышение доли проводимых активностей на 2,5 процента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Повышение академической успешности учеников, которые осваивают курсы внеурочной деятельности (доля прироста средневзвешенной отметки по предмету или предметам по тематике курса в электронном журнале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Доля прироста средневзвешенной оценки по уровням образования (%)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чтение/литература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 значение прироста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Качество воспитательной работы, организуемой учителями-предметниками на уроках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Предметная среда урока для познавательного, нравственного и физического развития учеников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Большинство педагогов-предметников соблюдают на своих уроках требования СП и СанПиН. Основные нарушения – не проводятся физминутки, не проветривается кабинет в соответствии с режимом проветривания, не соблюдаются требования к режиму работы с компьютерами.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Педагоги-предметники применяют на уроках различные формы организации познавательной активности учеников: фронтальная, индивидуальная и групповая работа &lt;...&gt;.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Большинство педагогов применяют на уроках интерактивные формы организации деятельности, например разбор конкретных ситуаций (кейс-технологии), деловые и ролевые игры, дискуссии, мозговой штурм &lt;...&gt;. Затрудняются в применении интерактивных технологий: учитель физики Дятлов А.В., учитель математики Сокова К.Н. &lt;...&gt;.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Большинство педагогов используют вариативные формы организации взаимодействия между школьниками, самые распространенные формы – шефство мотивированных обучающихся над неуспевающими одноклассниками.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Внешний вид большинства педагогов соответствует принятому в школе </w:t>
      </w:r>
      <w:r>
        <w:rPr>
          <w:rFonts w:hAnsi="Times New Roman" w:cs="Times New Roman"/>
          <w:color w:val="000000"/>
          <w:sz w:val="24"/>
          <w:szCs w:val="24"/>
        </w:rPr>
        <w:t>Кодексу профессиональной этики 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; нарушения допускают педагоги Дятлов А.В., Травкина Р.И. (джинсы, спортивный стиль).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Педагоги-предметники обращают внимание учеников на необходимость соблюдать на уроках общепринятые нормы поведения и требования к внешнему виду в соответствии с </w:t>
      </w:r>
      <w:r>
        <w:rPr>
          <w:rFonts w:hAnsi="Times New Roman" w:cs="Times New Roman"/>
          <w:color w:val="000000"/>
          <w:sz w:val="24"/>
          <w:szCs w:val="24"/>
        </w:rPr>
        <w:t>положением о внешнем виде учеников</w:t>
      </w:r>
      <w:r>
        <w:rPr>
          <w:rFonts w:hAnsi="Times New Roman" w:cs="Times New Roman"/>
          <w:color w:val="000000"/>
          <w:sz w:val="24"/>
          <w:szCs w:val="24"/>
        </w:rPr>
        <w:t>. Доля учеников, не соответствующих положению, составляет 17 процентов; основные нарушения обучающихся во внешнем виде: джинсы, спортивный стиль, отсутствие сменной обуви, яркий макияж у девочек.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Отбор содержания урока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Большинство педагогов-предметников включают в содержание уроков практико-ориентированные задания, опирающиеся на фактологию повседневной жизни. Затрудняются в применении таких заданий учитель музыки Михайлова В.М., учитель биологии Травкина Р.И. &lt;...&gt;.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ценностного отношения учеников к знаниям, умениям, объекту и предмету урока, к интеллектуальному и физическому труду, к истории России, ее культуре, символам, природе, людям в рамках патриотического и трудового воспитания педагоги-предметники осуществляют с помощью создания ситуаций занимательности – введение занимательных примеров, опытов, фактов; создания эмоциональных ситуаций – через эмоциональную, художественную, яркую речь педагогов; создания ситуаций новизны, актуальности, приближения содержания к самым важным открытиям в науке, к достижениям современной культуры, искусства, к явлениям общественной жизни 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Организация учебной 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Большинство педагогов-предметников подбирают методы обучения в соответствии с задачами уроков.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Большинство педагогов строят отношения между учениками в рамках уроков на основе общей активной интеллектуальной деятельности, используя для этого интерактивные методы обучения.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Большинство педагогов учитывают индивидуальные особенности обучающихся при определении объема задания и уровня трудности за счет использования разноуровневых заданий, соблюдают принципы развивающего обучения.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Большинство педагогов организуют в рамках своих уроков и внеурочной деятельности по предмету проектную и исследовательскую деятельность обучающихся. Примеры проектных и исследовательских работ обучающихся: 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екоративные растения в городском парке культуры», выполнил Попов М., 9 «В»; </w:t>
      </w:r>
      <w:r>
        <w:rPr>
          <w:rFonts w:hAnsi="Times New Roman" w:cs="Times New Roman"/>
          <w:color w:val="000000"/>
          <w:sz w:val="24"/>
          <w:szCs w:val="24"/>
        </w:rPr>
        <w:t>«Родники в окрестностях города. Анализ качества родниковой воды», выполнила Аникина Н., 10 «А» </w:t>
      </w:r>
      <w:r>
        <w:rPr>
          <w:rFonts w:hAnsi="Times New Roman" w:cs="Times New Roman"/>
          <w:color w:val="000000"/>
          <w:sz w:val="24"/>
          <w:szCs w:val="24"/>
        </w:rPr>
        <w:t>&lt;...&gt;.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Затруднения в организации учебной деятельности обучающихся испытывают в основном молодые педагоги. Не всегда задачи урока решаются ими с помощью адекватных методов и приемов обучения, разноуровневые задания используются на уроках редко, формы организации деятельности фронтальные.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Самоорганизация профессиональной деятельности педагога на уроке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основном педагоги-предметники предъявляют ученикам адекватные требования в соответствии с темой, задачами и содержанием урока и доводят их до логического завершения.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Большинство педагогов предусматривают на уроках время для детального разъяснения требований к выполнению каждой учебной задачи нового типа.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педагоги стараются придавать своим требованиям позитивный характер и соотносят их с возрастными особенностями своих учеников.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Адекватные решения для нестандартных ситуаций, случившихся на уроках, могут найти не все педагоги.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Затруднения возникают в основном у молодых специалистов: не могут быстро сориентироваться и найти решение в нестандартных ситуациях; испытывают трудности в доведении требований до логического завершения; не дают пояснений по учебным задачам.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Опытные педагоги-предметники смогли установить доверительные отношения с обучающимися и между ними. Не складываются отношения с 9 «А» классом у учителя физики Дятлова А.В. и учителя химии Афанасьевой В.А. – молодых специалистов.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Причины, почему педагогам не удалось установить доверительные отношения с обучающимися и между ними: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мнению молодых педагогов: нарушение дисциплины на уроках; регулярное некачественное выполнение или невыполнение домашних заданий; нерешенные межличностные конфликты между учениками в отдельных классах.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мнению учеников: нетактичное поведение и некорректные высказывания педагогов; необъективность педагогов в оценке знаний учеников; </w:t>
      </w:r>
      <w:r>
        <w:rPr>
          <w:rFonts w:hAnsi="Times New Roman" w:cs="Times New Roman"/>
          <w:color w:val="000000"/>
          <w:sz w:val="24"/>
          <w:szCs w:val="24"/>
        </w:rPr>
        <w:t>завышенные требования.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о наблюдениям руководителей ШМО</w:t>
      </w:r>
      <w:r>
        <w:rPr>
          <w:rFonts w:hAnsi="Times New Roman" w:cs="Times New Roman"/>
          <w:color w:val="000000"/>
          <w:sz w:val="24"/>
          <w:szCs w:val="24"/>
        </w:rPr>
        <w:t>: </w:t>
      </w:r>
      <w:r>
        <w:rPr>
          <w:rFonts w:hAnsi="Times New Roman" w:cs="Times New Roman"/>
          <w:color w:val="000000"/>
          <w:sz w:val="24"/>
          <w:szCs w:val="24"/>
        </w:rPr>
        <w:t>нечеткая организация занятия; </w:t>
      </w:r>
      <w:r>
        <w:rPr>
          <w:rFonts w:hAnsi="Times New Roman" w:cs="Times New Roman"/>
          <w:color w:val="000000"/>
          <w:sz w:val="24"/>
          <w:szCs w:val="24"/>
        </w:rPr>
        <w:t>невнятные/нелогичные требования педагога; </w:t>
      </w:r>
      <w:r>
        <w:rPr>
          <w:rFonts w:hAnsi="Times New Roman" w:cs="Times New Roman"/>
          <w:color w:val="000000"/>
          <w:sz w:val="24"/>
          <w:szCs w:val="24"/>
        </w:rPr>
        <w:t>бестактность со стороны педагога; </w:t>
      </w:r>
      <w:r>
        <w:rPr>
          <w:rFonts w:hAnsi="Times New Roman" w:cs="Times New Roman"/>
          <w:color w:val="000000"/>
          <w:sz w:val="24"/>
          <w:szCs w:val="24"/>
        </w:rPr>
        <w:t>нарушение дисциплины учащимися; игнорирование требований педагогов.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 Качество организации работы органов ученического самоуправления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Наличие отклонений от календарного графика работы ученического совета в процентах от общего числа запланированных мероприятий.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Отклонений от календарного графика работы ученического совета в первом полугодии 2023/24 учебного года не было.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Количество инициатив, с которыми по итогам своей работы ученический совет обратился к администрации школы, в управляющий совет, из них: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доля инициатив, прошедших согласование, – </w:t>
      </w: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процентов;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доля реализованных инициатив – </w:t>
      </w:r>
      <w:r>
        <w:rPr>
          <w:rFonts w:hAnsi="Times New Roman" w:cs="Times New Roman"/>
          <w:color w:val="000000"/>
          <w:sz w:val="24"/>
          <w:szCs w:val="24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Качество организации работы по профессиональному самоопределению учеников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Реализация профминимума в 6–11-х классах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Доля обучающихся 6–11-х классов, зарегистрированных на платформе «Билет в будущее», – </w:t>
      </w:r>
      <w:r>
        <w:rPr>
          <w:rFonts w:hAnsi="Times New Roman" w:cs="Times New Roman"/>
          <w:color w:val="000000"/>
          <w:sz w:val="24"/>
          <w:szCs w:val="24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Доля учеников 6–11-х классов, которые прошли профпробы, – </w:t>
      </w:r>
      <w:r>
        <w:rPr>
          <w:rFonts w:hAnsi="Times New Roman" w:cs="Times New Roman"/>
          <w:color w:val="000000"/>
          <w:sz w:val="24"/>
          <w:szCs w:val="24"/>
        </w:rPr>
        <w:t>97</w:t>
      </w:r>
      <w:r>
        <w:rPr>
          <w:rFonts w:hAnsi="Times New Roman" w:cs="Times New Roman"/>
          <w:color w:val="000000"/>
          <w:sz w:val="24"/>
          <w:szCs w:val="24"/>
        </w:rPr>
        <w:t> 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Доля учеников 6–11-х классов, которые прошли онлайн-диагностику, – </w:t>
      </w:r>
      <w:r>
        <w:rPr>
          <w:rFonts w:hAnsi="Times New Roman" w:cs="Times New Roman"/>
          <w:color w:val="000000"/>
          <w:sz w:val="24"/>
          <w:szCs w:val="24"/>
        </w:rPr>
        <w:t>97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Доля учеников 6–11-х классов, принявших участие в региональных и федеральных мероприятиях, которые провела школа в рамках профориентационных мероприятий по выбору, – </w:t>
      </w:r>
      <w:r>
        <w:rPr>
          <w:rFonts w:hAnsi="Times New Roman" w:cs="Times New Roman"/>
          <w:color w:val="000000"/>
          <w:sz w:val="24"/>
          <w:szCs w:val="24"/>
        </w:rPr>
        <w:t>85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Доля учеников 6–11-х классов, которые приняли участие в проектной деятельности, – </w:t>
      </w:r>
      <w:r>
        <w:rPr>
          <w:rFonts w:hAnsi="Times New Roman" w:cs="Times New Roman"/>
          <w:color w:val="000000"/>
          <w:sz w:val="24"/>
          <w:szCs w:val="24"/>
        </w:rPr>
        <w:t>85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Доля мероприятий, которые соответствуют профилям и запросам учеников 6–11-х классов, от общего количества мероприятий, которые провела школа в рамках профориентационных мероприятий по выбору, – </w:t>
      </w:r>
      <w:r>
        <w:rPr>
          <w:rFonts w:hAnsi="Times New Roman" w:cs="Times New Roman"/>
          <w:color w:val="000000"/>
          <w:sz w:val="24"/>
          <w:szCs w:val="24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Совместная деятельность образовательной организации с учреждениями СПО и вузами по активизации профессионального самоопределения школьников. Проведение уроков технологии на базе колледжей, вузов и/или специалистами колледжей, вузов – на базе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Доля таких уроков в общем количестве уроков технологии, которые были проведены за период, – </w:t>
      </w:r>
      <w:r>
        <w:rPr>
          <w:rFonts w:hAnsi="Times New Roman" w:cs="Times New Roman"/>
          <w:color w:val="000000"/>
          <w:sz w:val="24"/>
          <w:szCs w:val="24"/>
        </w:rPr>
        <w:t>43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Участие учеников в предпрофессиональных олимпиадах, конференциях. Количество учеников: </w:t>
      </w:r>
      <w:r>
        <w:rPr>
          <w:rFonts w:hAnsi="Times New Roman" w:cs="Times New Roman"/>
          <w:color w:val="000000"/>
          <w:sz w:val="24"/>
          <w:szCs w:val="24"/>
        </w:rPr>
        <w:t>102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Динамика прироста по сравнению с предыдущим периодом – </w:t>
      </w:r>
      <w:r>
        <w:rPr>
          <w:rFonts w:hAnsi="Times New Roman" w:cs="Times New Roman"/>
          <w:color w:val="000000"/>
          <w:sz w:val="24"/>
          <w:szCs w:val="24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> процент.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Участие учеников в чемпионатах профессионального мастерства KidsSkills, JuniorSkills, WorldSkills и т. 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учеников – </w:t>
      </w:r>
      <w:r>
        <w:rPr>
          <w:rFonts w:hAnsi="Times New Roman" w:cs="Times New Roman"/>
          <w:color w:val="000000"/>
          <w:sz w:val="24"/>
          <w:szCs w:val="24"/>
        </w:rPr>
        <w:t>56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Динамика прироста по сравнению с предыдущим периодом – </w:t>
      </w:r>
      <w:r>
        <w:rPr>
          <w:rFonts w:hAnsi="Times New Roman" w:cs="Times New Roman"/>
          <w:color w:val="000000"/>
          <w:sz w:val="24"/>
          <w:szCs w:val="24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Организация встреч, мастер-классов с лидерами профессий на базе школы. Количество мероприятий – 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Динамика прироста по сравнению с предыдущим периодом – </w:t>
      </w:r>
      <w:r>
        <w:rPr>
          <w:rFonts w:hAnsi="Times New Roman" w:cs="Times New Roman"/>
          <w:color w:val="000000"/>
          <w:sz w:val="24"/>
          <w:szCs w:val="24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Качество организации взаимодействия с родителями, классными руководителями, учителями-предметниками, социальным педагогом, педагогом-психологом, администрацией школы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Отсутствие обращений родителей или законных представителей учеников вне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Обращения родителей/законных представителей вне образовательной организации на отчетный период </w:t>
      </w:r>
      <w:r>
        <w:rPr>
          <w:rFonts w:hAnsi="Times New Roman" w:cs="Times New Roman"/>
          <w:color w:val="000000"/>
          <w:sz w:val="24"/>
          <w:szCs w:val="24"/>
        </w:rPr>
        <w:t>отсутствуют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 Качество общешкольных воспитательных дел, событий, мероприятий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Исполнение календаря воспитывающей деятельности в процентах от запланированных мероприятий – </w:t>
      </w:r>
      <w:r>
        <w:rPr>
          <w:rFonts w:hAnsi="Times New Roman" w:cs="Times New Roman"/>
          <w:color w:val="000000"/>
          <w:sz w:val="24"/>
          <w:szCs w:val="24"/>
        </w:rPr>
        <w:t>95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 Динамика позитивных отзывов школьников, родителей, педагогов о воспитательных делах, событиях и мероприятиях по сравнению с предыдущим периодом – </w:t>
      </w:r>
      <w:r>
        <w:rPr>
          <w:rFonts w:hAnsi="Times New Roman" w:cs="Times New Roman"/>
          <w:color w:val="000000"/>
          <w:sz w:val="24"/>
          <w:szCs w:val="24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Количество положительных публикаций о проведенных мероприятиях в СМИ, в том числе в школьных медиа и соцсетях, на сайтах отзывов и т. п., – </w:t>
      </w:r>
      <w:r>
        <w:rPr>
          <w:rFonts w:hAnsi="Times New Roman" w:cs="Times New Roman"/>
          <w:color w:val="000000"/>
          <w:sz w:val="24"/>
          <w:szCs w:val="24"/>
        </w:rPr>
        <w:t>98</w:t>
      </w:r>
      <w:r>
        <w:rPr>
          <w:rFonts w:hAnsi="Times New Roman" w:cs="Times New Roman"/>
          <w:color w:val="000000"/>
          <w:sz w:val="24"/>
          <w:szCs w:val="24"/>
        </w:rPr>
        <w:t xml:space="preserve"> публикаций </w:t>
      </w:r>
      <w:r>
        <w:rPr>
          <w:rFonts w:hAnsi="Times New Roman" w:cs="Times New Roman"/>
          <w:color w:val="000000"/>
          <w:sz w:val="24"/>
          <w:szCs w:val="24"/>
        </w:rPr>
        <w:t>(92 – школьные медиа и соцсети, 6 – на официальном сайте г. о. Энск)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7.4. Востребованность воспитательных практик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Участие в реализации предложенных школой мероприятий и общешкольных дел приняли 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 школ городского округа.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консультативных запросов от организаторов воспитательной работы из других школ – </w:t>
      </w:r>
      <w:r>
        <w:rPr>
          <w:rFonts w:hAnsi="Times New Roman" w:cs="Times New Roman"/>
          <w:color w:val="000000"/>
          <w:sz w:val="24"/>
          <w:szCs w:val="24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Качество организации внешкольных мероприятий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 Доля позитивных отзывов школьников и родителей о выездных тематических мероприятиях воспитательной направленности, организуемых педагогами по школьным учебным предметам, курсам, модулям, среди общего количества отзывов – </w:t>
      </w:r>
      <w:r>
        <w:rPr>
          <w:rFonts w:hAnsi="Times New Roman" w:cs="Times New Roman"/>
          <w:color w:val="000000"/>
          <w:sz w:val="24"/>
          <w:szCs w:val="24"/>
        </w:rPr>
        <w:t>87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8.2. Динамика позитивных отзывов школьников и родителей о выездных тематических мероприятиях воспитательной направленности, организуемых педагогами по школьным учебным предметам, курсам, модулям, среди общего количества отзывов – </w:t>
      </w:r>
      <w:r>
        <w:rPr>
          <w:rFonts w:hAnsi="Times New Roman" w:cs="Times New Roman"/>
          <w:color w:val="000000"/>
          <w:sz w:val="24"/>
          <w:szCs w:val="24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 Доля позитивных отзывов школьников об экскурсиях, походах выходного дня, организуемых в классах классными руководителями, в том числе совместно с родителями/законными представителями, – </w:t>
      </w:r>
      <w:r>
        <w:rPr>
          <w:rFonts w:hAnsi="Times New Roman" w:cs="Times New Roman"/>
          <w:color w:val="000000"/>
          <w:sz w:val="24"/>
          <w:szCs w:val="24"/>
        </w:rPr>
        <w:t>91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8.4. Динамика позитивных отзывов школьников и родителей об экскурсиях, походах выходного дня, организуемых в классах классными руководителями, в том числе совместно с родителями/законными представителями, – </w:t>
      </w: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8.5. Доля позитивных отзывов школьников и родителей о выездных событиях, включающих в себя комплекс коллективных творческих дел, в процессе которых складываются детско-взрослые общности, – </w:t>
      </w:r>
      <w:r>
        <w:rPr>
          <w:rFonts w:hAnsi="Times New Roman" w:cs="Times New Roman"/>
          <w:color w:val="000000"/>
          <w:sz w:val="24"/>
          <w:szCs w:val="24"/>
        </w:rPr>
        <w:t>65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Качество совместной деятельности педагогов и обучающихся по созданию предметно-пространственной среды, ее поддержанию и использованию в воспитательном процессе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9.1. Наличие в вестибюле школы обязательной зоны  «Государственная символика РФ», символики субъекта РФ, муниципального образования (флаг, герб).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9.2. Наличие обязательных зон «Возможности и проекты для детей».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наличии зоны: «Движение первых», «Орлята России», «Большая перемена». Остальные – в процессе оформления.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9.3. Фактическое проведение церемоний поднятия (спуска) Государственного флага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Проведены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запланированные церемонии поднятия и спуска Государственного флага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9.4. Наличие «мест гражданского почитания».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Мемориальная доска, посвященная памяти Егорова И.И., ветерана ВОВ, выпускника и педагога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9.5. Доступная, привлекательная, позитивная форма подачи новостной информации гражданско-патриотического, духовно-нравственного содержания и т. 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Да. Но не всегда вовремя происходит смена информации, часто на стендах находятся устаревшие сведения.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9.6. Наличие регулярно сменяемых экспозиций творческих работ обучающихся в разных предметных областях.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Да. Экспозиции меняются своевременно.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9.7. Наличие игровых пространств, спортивных и игровых площадок, зон активного и тихого отдыха.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Имеются игровые пространства в рекреации первого этажа (крыло начальной школы), зона активного отдыха в рекреации второго этажа (левое крыло) и зона тихого отдыха (правое крыло).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9.8. Поддержание эстетического вида помещений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Эстетический вид поддерживается постоянно, осуществляется дежурство классов.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9.9. Наличие событийного дизайна.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Имеется группа стендов «Интересное в школе». На них размещена информация с планом воспитательных событий на неделю, информация о проведенных мероприятиях, фото с последних мероприятий, отзывы школьников.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Также имеется стенд «Разговоры о важном» – на нем еженедельно размещают информацию по теме внеурочного занятия и анкеты обратной связи.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10. Качество организации профилактической работы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10.1. Динамика охвата обучающихся, требующих особого педагогического внимания, дополнительным образованием в процентах от предыдущего периода.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Положительная, 6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10.2. Динамика охвата обучающихся, требующих особого педагогического внимания, внеурочной деятельностью в процентах от предыдущего периода.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Стабильно.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10.3. Динамика негативных проявлений – дисциплинарных нарушений, конфликтных ситуаций, в том числе случаев буллинга/кибербуллинга, случаев вандализма по отношению к помещениям и имуществу школы в процентах от предыдущего периода.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Отрицательная.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10.4. Динамика случаев постановки обучающихся на учет: внутришкольный, в КДН, ПДН и т. п., в процентах от предыдущего периода.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отчетный период случаев постановки обучающихся на учет не было.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10.5. Динамика случаев снятия обучающихся с внутришкольного учета, учета в КДН, ПДН и т. п. в связи со стойким улучшением ситуации в процентах от предыдущего периода.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Положительная – с учета снято 2 обучающихся (Нефедов А., 7 «В», и Резаков П., 9 «В»).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11. Качество организации социального партнерства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11.1. Количество действующих договоров с учреждениями СПО и вузами, предприятиями города – 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Динамика прироста социальных партнеров по сравнению с предыдущим периодом – </w:t>
      </w:r>
      <w:r>
        <w:rPr>
          <w:rFonts w:hAnsi="Times New Roman" w:cs="Times New Roman"/>
          <w:color w:val="000000"/>
          <w:sz w:val="24"/>
          <w:szCs w:val="24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11.2. Вовлеченность социальных партнеров в жизнь школы. Количество участников мероприятий из числа общественных деятелей, представителей бизнеса и власти и т. п. – </w:t>
      </w:r>
      <w:r>
        <w:rPr>
          <w:rFonts w:hAnsi="Times New Roman" w:cs="Times New Roman"/>
          <w:color w:val="000000"/>
          <w:sz w:val="24"/>
          <w:szCs w:val="24"/>
        </w:rPr>
        <w:t>в среднем 10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11.3. Динамика воспитательных мероприятий, событий, отдельных уроков, внеурочных занятий, внешкольных мероприятий, проведенных с участием организаций-партнеров, в процентах от предыдущего периода.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Положительная, 3 процента.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11.4. Динамика акций воспитательной направленности, отдельных уроков, внеурочных занятий, внешкольных мероприятий, проведенных на базе организаций-партнеров, в процентах от предыдущего периода.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Положительная, 1,5 процента.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11.5. Наличие социальных проектов, совместно разрабатываемых и реализуемых обучающимися, педагогами с организациями-партнерами различной (благотворительной, экологической, патриотической, трудовой и т. п.) направленности.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Анализ патриотического воспитания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отчетном периоде наиболее удачными с точки зрения реализации задач патриотического воспитания были следующие воспитательные события/дела/мероприятия: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уровне школы: </w:t>
      </w:r>
      <w:r>
        <w:rPr>
          <w:rFonts w:hAnsi="Times New Roman" w:cs="Times New Roman"/>
          <w:color w:val="000000"/>
          <w:sz w:val="24"/>
          <w:szCs w:val="24"/>
        </w:rPr>
        <w:t xml:space="preserve">еженедельная церемония поднятия Государственного флага, </w:t>
      </w:r>
      <w:r>
        <w:rPr>
          <w:rFonts w:hAnsi="Times New Roman" w:cs="Times New Roman"/>
          <w:color w:val="000000"/>
          <w:sz w:val="24"/>
          <w:szCs w:val="24"/>
        </w:rPr>
        <w:t>акция «Подарки для ветеранов» ко Дню пожилого человека, флешмоб «Когда мы едины – мы непобедимы» &lt;...&gt;;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уровне классов (проведенные классными руководителями): </w:t>
      </w:r>
      <w:r>
        <w:rPr>
          <w:rFonts w:hAnsi="Times New Roman" w:cs="Times New Roman"/>
          <w:color w:val="000000"/>
          <w:sz w:val="24"/>
          <w:szCs w:val="24"/>
        </w:rPr>
        <w:t>«Разговоры о важном», КТД «Мой герой» (5 «А»)</w:t>
      </w:r>
      <w:r>
        <w:rPr>
          <w:rFonts w:hAnsi="Times New Roman" w:cs="Times New Roman"/>
          <w:color w:val="000000"/>
          <w:sz w:val="24"/>
          <w:szCs w:val="24"/>
        </w:rPr>
        <w:t> &lt;...&gt;;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уровне классов/параллелей/разновозрастных групп (проведенные педагогами-предметниками): </w:t>
      </w:r>
      <w:r>
        <w:rPr>
          <w:rFonts w:hAnsi="Times New Roman" w:cs="Times New Roman"/>
          <w:color w:val="000000"/>
          <w:sz w:val="24"/>
          <w:szCs w:val="24"/>
        </w:rPr>
        <w:t>конкурс плакатов</w:t>
      </w:r>
      <w:r>
        <w:rPr>
          <w:rFonts w:hAnsi="Times New Roman" w:cs="Times New Roman"/>
          <w:color w:val="000000"/>
          <w:sz w:val="24"/>
          <w:szCs w:val="24"/>
        </w:rPr>
        <w:t xml:space="preserve"> «Как стать космонавтом» ко Дню рождения К. Циолковского (7–9-е классы), КТД «По местам боевой славы» (8-е классы)</w:t>
      </w:r>
      <w:r>
        <w:rPr>
          <w:rFonts w:hAnsi="Times New Roman" w:cs="Times New Roman"/>
          <w:color w:val="000000"/>
          <w:sz w:val="24"/>
          <w:szCs w:val="24"/>
        </w:rPr>
        <w:t> 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Успешность воспитательных событий с точки зрения реализации задач патриотического воспитания определялась с помощью таких способов, как </w:t>
      </w:r>
      <w:r>
        <w:rPr>
          <w:rFonts w:hAnsi="Times New Roman" w:cs="Times New Roman"/>
          <w:color w:val="000000"/>
          <w:sz w:val="24"/>
          <w:szCs w:val="24"/>
        </w:rPr>
        <w:t>наблюдение, </w:t>
      </w:r>
      <w:r>
        <w:rPr>
          <w:rFonts w:hAnsi="Times New Roman" w:cs="Times New Roman"/>
          <w:color w:val="000000"/>
          <w:sz w:val="24"/>
          <w:szCs w:val="24"/>
        </w:rPr>
        <w:t>опрос и анкетирование школьников,</w:t>
      </w:r>
      <w:r>
        <w:rPr>
          <w:rFonts w:hAnsi="Times New Roman" w:cs="Times New Roman"/>
          <w:color w:val="000000"/>
          <w:sz w:val="24"/>
          <w:szCs w:val="24"/>
        </w:rPr>
        <w:t> педагогов и</w:t>
      </w:r>
      <w:r>
        <w:rPr>
          <w:rFonts w:hAnsi="Times New Roman" w:cs="Times New Roman"/>
          <w:color w:val="000000"/>
          <w:sz w:val="24"/>
          <w:szCs w:val="24"/>
        </w:rPr>
        <w:t> родителей.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Наиболее эффективными в плане формирования патриотических, гражданских и нравственных качеств личности школьников показали себя следующие формы работы: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Индивидуальные: </w:t>
      </w:r>
      <w:r>
        <w:rPr>
          <w:rFonts w:hAnsi="Times New Roman" w:cs="Times New Roman"/>
          <w:color w:val="000000"/>
          <w:sz w:val="24"/>
          <w:szCs w:val="24"/>
        </w:rPr>
        <w:t>беседа, консультация, обмен мнениями, оказание индивидуальной помощи, совместный поиск решения проблемы.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Групповые: </w:t>
      </w:r>
      <w:r>
        <w:rPr>
          <w:rFonts w:hAnsi="Times New Roman" w:cs="Times New Roman"/>
          <w:color w:val="000000"/>
          <w:sz w:val="24"/>
          <w:szCs w:val="24"/>
        </w:rPr>
        <w:t>творческие группы, сетевые сообщества, органы самоуправления, проектная деятельность, ролевые и деловые игры.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Коллективные: </w:t>
      </w:r>
      <w:r>
        <w:rPr>
          <w:rFonts w:hAnsi="Times New Roman" w:cs="Times New Roman"/>
          <w:color w:val="000000"/>
          <w:sz w:val="24"/>
          <w:szCs w:val="24"/>
        </w:rPr>
        <w:t>конкурсы, соревнования, игры, социальные проекты, коллективно-творческие дела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 организации внеурочных занятий «Разговоры о важном» показал следующее: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занятиях в большинстве классов обучающиеся проявляли з</w:t>
      </w:r>
      <w:r>
        <w:rPr>
          <w:rFonts w:hAnsi="Times New Roman" w:cs="Times New Roman"/>
          <w:color w:val="000000"/>
          <w:sz w:val="24"/>
          <w:szCs w:val="24"/>
        </w:rPr>
        <w:t>аинтересованность в результатах групповой работы; отмечался эмоциональный отклик на информацию занятия.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 показали в основном высокий уровень активности: в</w:t>
      </w:r>
      <w:r>
        <w:rPr>
          <w:rFonts w:hAnsi="Times New Roman" w:cs="Times New Roman"/>
          <w:color w:val="000000"/>
          <w:sz w:val="24"/>
          <w:szCs w:val="24"/>
        </w:rPr>
        <w:t> 1–5-х классах наблюдается в основном высокий уровень активности; в 6–11-х – средний уровень активности.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Активность обучающихся на занятиях проявлялась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обсуждении содержания видеороликов; участии в выполнении интерактивных заданий; выполнении </w:t>
      </w:r>
      <w:r>
        <w:rPr>
          <w:rFonts w:hAnsi="Times New Roman" w:cs="Times New Roman"/>
          <w:color w:val="000000"/>
          <w:sz w:val="24"/>
          <w:szCs w:val="24"/>
        </w:rPr>
        <w:t>творческих заданий.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Вызвали наибольшую заинтересованность учеников следующие формы работы на занятиях: в</w:t>
      </w:r>
      <w:r>
        <w:rPr>
          <w:rFonts w:hAnsi="Times New Roman" w:cs="Times New Roman"/>
          <w:color w:val="000000"/>
          <w:sz w:val="24"/>
          <w:szCs w:val="24"/>
        </w:rPr>
        <w:t>ыполнение интерактивных заданий, просмотр и обсуждение видеороликов, работа в группах.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Выявлены следующие проблемы организации и проведения «Разговоров о важном»: 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основном технического характера – нестабильное подключение к сети Интернет, низкая скорость связи. Не во всех классных кабинетах есть проекторы – учителя вынуждены показывать ролики и презентации посредством телевизора. Большое количество учеников в классах при относительно небольших площадях классных кабинетов, что затрудняет организацию групповой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Анализ планов воспитательной работы классных руководителей показал </w:t>
      </w:r>
      <w:r>
        <w:rPr>
          <w:rFonts w:hAnsi="Times New Roman" w:cs="Times New Roman"/>
          <w:color w:val="000000"/>
          <w:sz w:val="24"/>
          <w:szCs w:val="24"/>
        </w:rPr>
        <w:t>наличие воспитательных событий, дел и мероприятий по патриотическому воспитанию. Формы организации разнообразны, самые распространенные – беседы, КТД, акции, экскурсии.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Для решения задач патриотического воспитания привлечены ресурсы </w:t>
      </w:r>
      <w:r>
        <w:rPr>
          <w:rFonts w:hAnsi="Times New Roman" w:cs="Times New Roman"/>
          <w:color w:val="000000"/>
          <w:sz w:val="24"/>
          <w:szCs w:val="24"/>
        </w:rPr>
        <w:t>школьного музея. Школьный музей имеет в наличии несколько тематических экспозиций:</w:t>
      </w:r>
      <w:r>
        <w:rPr>
          <w:rFonts w:hAnsi="Times New Roman" w:cs="Times New Roman"/>
          <w:color w:val="000000"/>
          <w:sz w:val="24"/>
          <w:szCs w:val="24"/>
        </w:rPr>
        <w:t xml:space="preserve"> постоянные – «Города России», «Природа России», «Мой край родной», «Уголок воинской славы», «Учителя-ветераны»; ежегодно обновляемая «Ими гордится школа» </w:t>
      </w:r>
      <w:r>
        <w:rPr>
          <w:rFonts w:hAnsi="Times New Roman" w:cs="Times New Roman"/>
          <w:color w:val="000000"/>
          <w:sz w:val="24"/>
          <w:szCs w:val="24"/>
        </w:rPr>
        <w:t>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Работники школьного музея оказывают методическую поддержку педагогам в подготовке и проведении различных образовательных мероприятий. Например, </w:t>
      </w:r>
      <w:r>
        <w:rPr>
          <w:rFonts w:hAnsi="Times New Roman" w:cs="Times New Roman"/>
          <w:color w:val="000000"/>
          <w:sz w:val="24"/>
          <w:szCs w:val="24"/>
        </w:rPr>
        <w:t>педагоги могут воспользоваться разработками классных часов (разработка классного часа «Ими гордится школа: чем славятся наши выпускники» и др.), использовать подборки музейных экспонатов (для проведения уроков мужества «Оборона Москвы» </w:t>
      </w:r>
      <w:r>
        <w:rPr>
          <w:rFonts w:hAnsi="Times New Roman" w:cs="Times New Roman"/>
          <w:color w:val="000000"/>
          <w:sz w:val="24"/>
          <w:szCs w:val="24"/>
        </w:rPr>
        <w:t>&lt;...&gt;).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базе школьного музея проводятся уроки. За отчетный период </w:t>
      </w:r>
      <w:r>
        <w:rPr>
          <w:rFonts w:hAnsi="Times New Roman" w:cs="Times New Roman"/>
          <w:color w:val="000000"/>
          <w:sz w:val="24"/>
          <w:szCs w:val="24"/>
        </w:rPr>
        <w:t>проведено 43 музейных урока в 1–4-х классах, 2 – в 5-х и 6-х классах; проведено 7 уроков истории на базе школьного музея (в 7–11-х классах) </w:t>
      </w:r>
      <w:r>
        <w:rPr>
          <w:rFonts w:hAnsi="Times New Roman" w:cs="Times New Roman"/>
          <w:color w:val="000000"/>
          <w:sz w:val="24"/>
          <w:szCs w:val="24"/>
        </w:rPr>
        <w:t>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Анализ уровня сформированности гражданских и патриотических качеств личности обучающихся показал, что большинство обучающихся школы имеет </w:t>
      </w:r>
      <w:r>
        <w:rPr>
          <w:rFonts w:hAnsi="Times New Roman" w:cs="Times New Roman"/>
          <w:color w:val="000000"/>
          <w:sz w:val="24"/>
          <w:szCs w:val="24"/>
        </w:rPr>
        <w:t>высокий и средний</w:t>
      </w:r>
      <w:r>
        <w:rPr>
          <w:rFonts w:hAnsi="Times New Roman" w:cs="Times New Roman"/>
          <w:color w:val="000000"/>
          <w:sz w:val="24"/>
          <w:szCs w:val="24"/>
        </w:rPr>
        <w:t xml:space="preserve"> уровни патриотических качеств. </w:t>
      </w:r>
      <w:r>
        <w:rPr>
          <w:rFonts w:hAnsi="Times New Roman" w:cs="Times New Roman"/>
          <w:color w:val="000000"/>
          <w:sz w:val="24"/>
          <w:szCs w:val="24"/>
        </w:rPr>
        <w:t>Низкий</w:t>
      </w:r>
      <w:r>
        <w:rPr>
          <w:rFonts w:hAnsi="Times New Roman" w:cs="Times New Roman"/>
          <w:color w:val="000000"/>
          <w:sz w:val="24"/>
          <w:szCs w:val="24"/>
        </w:rPr>
        <w:t xml:space="preserve"> уровень наблюдается у </w:t>
      </w:r>
      <w:r>
        <w:rPr>
          <w:rFonts w:hAnsi="Times New Roman" w:cs="Times New Roman"/>
          <w:color w:val="000000"/>
          <w:sz w:val="24"/>
          <w:szCs w:val="24"/>
        </w:rPr>
        <w:t>32–36</w:t>
      </w:r>
      <w:r>
        <w:rPr>
          <w:rFonts w:hAnsi="Times New Roman" w:cs="Times New Roman"/>
          <w:color w:val="000000"/>
          <w:sz w:val="24"/>
          <w:szCs w:val="24"/>
        </w:rPr>
        <w:t> процентов школьников.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уровне начального общего образования: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доля обучающихся с высоким уровнем сформированности – </w:t>
      </w:r>
      <w:r>
        <w:rPr>
          <w:rFonts w:hAnsi="Times New Roman" w:cs="Times New Roman"/>
          <w:color w:val="000000"/>
          <w:sz w:val="24"/>
          <w:szCs w:val="24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процента;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доля обучающихся со средним уровнем сформированности – </w:t>
      </w:r>
      <w:r>
        <w:rPr>
          <w:rFonts w:hAnsi="Times New Roman" w:cs="Times New Roman"/>
          <w:color w:val="000000"/>
          <w:sz w:val="24"/>
          <w:szCs w:val="24"/>
        </w:rPr>
        <w:t>42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процента;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доля обучающихся с низким уровнем сформированности – </w:t>
      </w:r>
      <w:r>
        <w:rPr>
          <w:rFonts w:hAnsi="Times New Roman" w:cs="Times New Roman"/>
          <w:color w:val="000000"/>
          <w:sz w:val="24"/>
          <w:szCs w:val="24"/>
        </w:rPr>
        <w:t>35</w:t>
      </w:r>
      <w:r>
        <w:rPr>
          <w:rFonts w:hAnsi="Times New Roman" w:cs="Times New Roman"/>
          <w:color w:val="000000"/>
          <w:sz w:val="24"/>
          <w:szCs w:val="24"/>
        </w:rPr>
        <w:t> 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уровне основного общего образования: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доля обучающихся с высоким уровнем сформированности – </w:t>
      </w:r>
      <w:r>
        <w:rPr>
          <w:rFonts w:hAnsi="Times New Roman" w:cs="Times New Roman"/>
          <w:color w:val="000000"/>
          <w:sz w:val="24"/>
          <w:szCs w:val="24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доля обучающихся со средним уровнем сформированности – </w:t>
      </w:r>
      <w:r>
        <w:rPr>
          <w:rFonts w:hAnsi="Times New Roman" w:cs="Times New Roman"/>
          <w:color w:val="000000"/>
          <w:sz w:val="24"/>
          <w:szCs w:val="24"/>
        </w:rPr>
        <w:t>37</w:t>
      </w:r>
      <w:r>
        <w:rPr>
          <w:rFonts w:hAnsi="Times New Roman" w:cs="Times New Roman"/>
          <w:color w:val="000000"/>
          <w:sz w:val="24"/>
          <w:szCs w:val="24"/>
        </w:rPr>
        <w:t> процентов;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доля обучающихся с низким уровнем сформированности – </w:t>
      </w:r>
      <w:r>
        <w:rPr>
          <w:rFonts w:hAnsi="Times New Roman" w:cs="Times New Roman"/>
          <w:color w:val="000000"/>
          <w:sz w:val="24"/>
          <w:szCs w:val="24"/>
        </w:rPr>
        <w:t>36</w:t>
      </w:r>
      <w:r>
        <w:rPr>
          <w:rFonts w:hAnsi="Times New Roman" w:cs="Times New Roman"/>
          <w:color w:val="000000"/>
          <w:sz w:val="24"/>
          <w:szCs w:val="24"/>
        </w:rPr>
        <w:t> 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уровне среднего общего образования: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доля обучающихся с высоким уровнем сформированности – </w:t>
      </w:r>
      <w:r>
        <w:rPr>
          <w:rFonts w:hAnsi="Times New Roman" w:cs="Times New Roman"/>
          <w:color w:val="000000"/>
          <w:sz w:val="24"/>
          <w:szCs w:val="24"/>
        </w:rPr>
        <w:t>43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процента;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доля обучающихся со средним уровнем сформированности – </w:t>
      </w: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процентов;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доля обучающихся с низким уровнем сформированности – </w:t>
      </w:r>
      <w:r>
        <w:rPr>
          <w:rFonts w:hAnsi="Times New Roman" w:cs="Times New Roman"/>
          <w:color w:val="000000"/>
          <w:sz w:val="24"/>
          <w:szCs w:val="24"/>
        </w:rPr>
        <w:t>32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среднем по школе: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доля обучающихся с высоким уровнем сформированности – </w:t>
      </w:r>
      <w:r>
        <w:rPr>
          <w:rFonts w:hAnsi="Times New Roman" w:cs="Times New Roman"/>
          <w:color w:val="000000"/>
          <w:sz w:val="24"/>
          <w:szCs w:val="24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доля обучающихся со средним уровнем сформированности – </w:t>
      </w:r>
      <w:r>
        <w:rPr>
          <w:rFonts w:hAnsi="Times New Roman" w:cs="Times New Roman"/>
          <w:color w:val="000000"/>
          <w:sz w:val="24"/>
          <w:szCs w:val="24"/>
        </w:rPr>
        <w:t>35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доля обучающихся с низким уровнем сформированности – </w:t>
      </w:r>
      <w:r>
        <w:rPr>
          <w:rFonts w:hAnsi="Times New Roman" w:cs="Times New Roman"/>
          <w:color w:val="000000"/>
          <w:sz w:val="24"/>
          <w:szCs w:val="24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> процента.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школе в целях патриотического воспитания действует </w:t>
      </w:r>
      <w:r>
        <w:rPr>
          <w:rFonts w:hAnsi="Times New Roman" w:cs="Times New Roman"/>
          <w:color w:val="000000"/>
          <w:sz w:val="24"/>
          <w:szCs w:val="24"/>
        </w:rPr>
        <w:t xml:space="preserve">школьное отделение РДДМ «Движение первых». Формы организации деятельности, чаще всего применяемые в работе школьного отделения: </w:t>
      </w:r>
      <w:r>
        <w:rPr>
          <w:rFonts w:hAnsi="Times New Roman" w:cs="Times New Roman"/>
          <w:color w:val="000000"/>
          <w:sz w:val="24"/>
          <w:szCs w:val="24"/>
        </w:rPr>
        <w:t>волонтерство, благоустройство памятных мест, поисковая деятельность, краеведение, школьный музей, акции, встречи с интересными людьми, военно-патриотический клуб, уголок воинской славы, стенды по истории, Дни воинской славы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Участники школьного отделения РДДМ за истекший период достигли следующих результатов: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сложился комплекс традиционных мероприятий, которые организует и проводит отделение РДДМ «Движение первых»;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налажено взаимодействие с отделением </w:t>
      </w:r>
      <w:r>
        <w:rPr>
          <w:rFonts w:hAnsi="Times New Roman" w:cs="Times New Roman"/>
          <w:color w:val="000000"/>
          <w:sz w:val="24"/>
          <w:szCs w:val="24"/>
        </w:rPr>
        <w:t>РДДМ «Движение первых»</w:t>
      </w:r>
      <w:r>
        <w:rPr>
          <w:rFonts w:hAnsi="Times New Roman" w:cs="Times New Roman"/>
          <w:color w:val="000000"/>
          <w:sz w:val="24"/>
          <w:szCs w:val="24"/>
        </w:rPr>
        <w:t xml:space="preserve"> МБОУ СОШ № 2 г. Энска. Совместно с ним проведена акция «Поможем братьям нашим меньшим».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мнению советника по воспитанию, курирующего школьное отделение </w:t>
      </w:r>
      <w:r>
        <w:rPr>
          <w:rFonts w:hAnsi="Times New Roman" w:cs="Times New Roman"/>
          <w:color w:val="000000"/>
          <w:sz w:val="24"/>
          <w:szCs w:val="24"/>
        </w:rPr>
        <w:t>РДДМ «Движение первых»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можно оценить результаты деятельности отделения на «4» по шкале от 1 до 5 баллов, то есть как хорошие.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школе также действует школьный знаменный отряд. Он участвует в проведении общешкольных торжественных мероприятий, в том числе в церемонии поднятия/спуска Государственного флага. </w:t>
      </w:r>
      <w:r>
        <w:rPr>
          <w:rFonts w:hAnsi="Times New Roman" w:cs="Times New Roman"/>
          <w:color w:val="000000"/>
          <w:sz w:val="24"/>
          <w:szCs w:val="24"/>
        </w:rPr>
        <w:t>В постоянный состав знаменного отряда школы входят 10 человек: разводящий, три знаменосца и шесть ассистентов. Это ученики 8–9-х классов, имеющие особые достижения в учебной, спортивной и творческой деятельности. Занятия знаменного отряда проходят еженедельно.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Школьным знаменным отрядом проведены все запланированные церемонии поднятия флага. В том числе в рамках общешкольных мероприятий:</w:t>
      </w:r>
      <w:r>
        <w:rPr>
          <w:rFonts w:hAnsi="Times New Roman" w:cs="Times New Roman"/>
          <w:color w:val="000000"/>
          <w:sz w:val="24"/>
          <w:szCs w:val="24"/>
        </w:rPr>
        <w:t xml:space="preserve"> линейка, посвященная Дню знаний; церемония «Признание»: старт, выдвижение кандидатов 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Кроме постоянного состава знаменного отряда, участвовали в церемонии поднятия флага обучающиеся: </w:t>
      </w:r>
      <w:r>
        <w:rPr>
          <w:rFonts w:hAnsi="Times New Roman" w:cs="Times New Roman"/>
          <w:color w:val="000000"/>
          <w:sz w:val="24"/>
          <w:szCs w:val="24"/>
        </w:rPr>
        <w:t>Мельников Максим (5 «А») – победитель городских соревнований по спортивной гимнастике, Кондакова Надежда (7 «Б») – отличная учеба, Лосев Иван (9 «Б») – победитель муниципального этапа ВсОШ 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рамках оказания методической поддержки педагогам по реализации патриотического воспитания проведены: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 мероприятие на тему </w:t>
      </w:r>
      <w:r>
        <w:rPr>
          <w:rFonts w:hAnsi="Times New Roman" w:cs="Times New Roman"/>
          <w:color w:val="000000"/>
          <w:sz w:val="24"/>
          <w:szCs w:val="24"/>
        </w:rPr>
        <w:t>«К</w:t>
      </w:r>
      <w:r>
        <w:rPr>
          <w:rFonts w:hAnsi="Times New Roman" w:cs="Times New Roman"/>
          <w:color w:val="000000"/>
          <w:sz w:val="24"/>
          <w:szCs w:val="24"/>
        </w:rPr>
        <w:t>ак выделить время для патриотического воспитания на уроке» (провел советник по воспитанию Журавлев Е.В.);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мастер-класс «Если классный час, то интересно» (провела классный руководитель 5 «А» класса Мирошникова В.М.);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заседание ШМО классных руководителей – круглый стол «Организация и проведение внеурочных занятий "Разговоры о важном"» (провела руководитель ШМО классных руководителей Голоменцева О.М.);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инициативе педагогов также было проведено внеплановое совещание с советником по воспитанию на тему </w:t>
      </w:r>
      <w:r>
        <w:rPr>
          <w:rFonts w:hAnsi="Times New Roman" w:cs="Times New Roman"/>
          <w:color w:val="000000"/>
          <w:sz w:val="24"/>
          <w:szCs w:val="24"/>
        </w:rPr>
        <w:t>работы с родителями по поводу внеурочных занятий «Разговоры о важном».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Воспитательная работа в школе организована на </w:t>
      </w:r>
      <w:r>
        <w:rPr>
          <w:rFonts w:hAnsi="Times New Roman" w:cs="Times New Roman"/>
          <w:color w:val="000000"/>
          <w:sz w:val="24"/>
          <w:szCs w:val="24"/>
        </w:rPr>
        <w:t>хорошем</w:t>
      </w:r>
      <w:r>
        <w:rPr>
          <w:rFonts w:hAnsi="Times New Roman" w:cs="Times New Roman"/>
          <w:color w:val="000000"/>
          <w:sz w:val="24"/>
          <w:szCs w:val="24"/>
        </w:rPr>
        <w:t xml:space="preserve"> уровне. </w:t>
      </w:r>
      <w:r>
        <w:rPr>
          <w:rFonts w:hAnsi="Times New Roman" w:cs="Times New Roman"/>
          <w:color w:val="000000"/>
          <w:sz w:val="24"/>
          <w:szCs w:val="24"/>
        </w:rPr>
        <w:t>Воспитательные события, дела и мероприятия реализуются в соответствии с рабочей программой воспитания и календарными планами воспитательной работы, в том числе в рамках реализации профминимума в 6–11-х классах, а также планами ВР классных руководителей.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Выявленные проблемы: </w:t>
      </w:r>
      <w:r>
        <w:rPr>
          <w:rFonts w:hAnsi="Times New Roman" w:cs="Times New Roman"/>
          <w:color w:val="000000"/>
          <w:sz w:val="24"/>
          <w:szCs w:val="24"/>
        </w:rPr>
        <w:t>понижение уровня охвата внеурочной деятельностью на уровне СОО; случаи буллинга на уровне ООО (5 «В» класс); 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арушения педагогами положений Кодекса педагогов, касающихся внешнего вида; конфликт молодых педагогов с учениками 9 «А» класса &lt;...&gt;.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Работа педколлектива по </w:t>
      </w:r>
      <w:r>
        <w:rPr>
          <w:rFonts w:hAnsi="Times New Roman" w:cs="Times New Roman"/>
          <w:color w:val="000000"/>
          <w:sz w:val="24"/>
          <w:szCs w:val="24"/>
        </w:rPr>
        <w:t>патриотическому, трудовому воспитанию, формированию навыков информационной безопасности, профориентации 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едется системно, целенаправленно и на хорошем уровне, что подтверждают результаты диагностики уровня сформированности личностных качеств у 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Работа по оформлению обязательных зон школьного воспитательного пространства осуществляется </w:t>
      </w:r>
      <w:r>
        <w:rPr>
          <w:rFonts w:hAnsi="Times New Roman" w:cs="Times New Roman"/>
          <w:color w:val="000000"/>
          <w:sz w:val="24"/>
          <w:szCs w:val="24"/>
        </w:rPr>
        <w:t>согласно плану.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Руководители ШМО, советник по воспитанию </w:t>
      </w:r>
      <w:r>
        <w:rPr>
          <w:rFonts w:hAnsi="Times New Roman" w:cs="Times New Roman"/>
          <w:color w:val="000000"/>
          <w:sz w:val="24"/>
          <w:szCs w:val="24"/>
        </w:rPr>
        <w:t>оказывают необходимую поддержку педагогам по реализации задач воспитания как в соответствии с планами работы ШМО, планом работы советника по ВР, так и по запросу педагогов.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 Поощрить деятельность классных руководителей: </w:t>
      </w:r>
      <w:r>
        <w:rPr>
          <w:rFonts w:hAnsi="Times New Roman" w:cs="Times New Roman"/>
          <w:color w:val="000000"/>
          <w:sz w:val="24"/>
          <w:szCs w:val="24"/>
        </w:rPr>
        <w:t>5 «А» класса Мирошниковой В.М., 6 «А» класса Апраксиной А.О., 9 «А» класса Семенцовой А.П. 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 Обеспечить решение выявленных проблем в воспитательном процессе школы: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установить причины понижения</w:t>
      </w:r>
      <w:r>
        <w:rPr>
          <w:rFonts w:hAnsi="Times New Roman" w:cs="Times New Roman"/>
          <w:color w:val="000000"/>
          <w:sz w:val="24"/>
          <w:szCs w:val="24"/>
        </w:rPr>
        <w:t> уровня охвата внеурочной деятельностью на уровне СОО;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взять на контроль ситуацию в 5 «В» классе (буллинг), разработать план совместно с педагогом-психологом и социальным педагогом для обследования и разрешения ситуации;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 Продолжить работу по </w:t>
      </w:r>
      <w:r>
        <w:rPr>
          <w:rFonts w:hAnsi="Times New Roman" w:cs="Times New Roman"/>
          <w:color w:val="000000"/>
          <w:sz w:val="24"/>
          <w:szCs w:val="24"/>
        </w:rPr>
        <w:t>патриотическому и трудовому воспитанию</w:t>
      </w:r>
      <w:r>
        <w:rPr>
          <w:rFonts w:hAnsi="Times New Roman" w:cs="Times New Roman"/>
          <w:color w:val="000000"/>
          <w:sz w:val="24"/>
          <w:szCs w:val="24"/>
        </w:rPr>
        <w:t>, формированию навыков информационной безопасности школьников, профориентации; максимально привлекать в воспитательный процесс возможности социальных партнеров школы для реализации задач воспитания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Педагогам-предметникам: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шире использовать возможности игровой, интерактивной и проектной технологий для организации учебной деятельности обучающихся при реализации воспитывающего компонента уроков;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разработке поурочных планов предусматривать организацию интерактивной деятельности обучающихся на различных этапах урока;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следить за своим поведением, речью, манерами, стилем общения с учениками и коллегами;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 время уроков следить за тем, как дети общаются с учителем, между собой; четко оговаривать правила поведения во время работы в группе или в парах, формируя тем самым нравственные формы общения;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 Классным руководителям и педагогам внеурочной деятельности: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работу с обучающимися и их родителями по обеспечению уровня вовлеченности во втором полугодии 2023/24 учебного года не менее 95 процентов;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своевременные и адекватные ситуации меры по сохранению контингента;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переработать программы курсов внеурочной деятельности СОО под запросы обучающихся и их родителей, в рабочих программах предусмотреть различные формы проведения занятий и формы организации деятельности обучающихся;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Исполнитель: </w:t>
      </w:r>
      <w:r>
        <w:rPr>
          <w:rFonts w:hAnsi="Times New Roman" w:cs="Times New Roman"/>
          <w:color w:val="000000"/>
          <w:sz w:val="24"/>
          <w:szCs w:val="24"/>
        </w:rPr>
        <w:t xml:space="preserve">заместитель директора по воспитательной работе </w:t>
      </w:r>
      <w:r>
        <w:rPr>
          <w:rFonts w:hAnsi="Times New Roman" w:cs="Times New Roman"/>
          <w:color w:val="000000"/>
          <w:sz w:val="24"/>
          <w:szCs w:val="24"/>
        </w:rPr>
        <w:t>Новикова О.В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 справкой ознакомлены: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Журавлев Е.В.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Иванов С.С.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8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2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0bc7ffe874b43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