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Справка по итогам контроля проектной деятельности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Сроки: </w:t>
      </w:r>
      <w:r>
        <w:rPr>
          <w:rFonts w:hAnsi="Times New Roman" w:cs="Times New Roman"/>
          <w:color w:val="000000"/>
          <w:sz w:val="24"/>
          <w:szCs w:val="24"/>
        </w:rPr>
        <w:t>01.12.2023–24.12.2023.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Цели контроля: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проанализировать деятельность школы по реализации учебной исследовательской  и проектной деятельности обучающихся;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выявить уровень готовности обучающихся к реализации </w:t>
      </w:r>
      <w:r>
        <w:rPr>
          <w:rFonts w:hAnsi="Times New Roman" w:cs="Times New Roman"/>
          <w:color w:val="000000"/>
          <w:sz w:val="24"/>
          <w:szCs w:val="24"/>
        </w:rPr>
        <w:t>учебной исследовательской и </w:t>
      </w:r>
      <w:r>
        <w:rPr>
          <w:rFonts w:hAnsi="Times New Roman" w:cs="Times New Roman"/>
          <w:color w:val="000000"/>
          <w:sz w:val="24"/>
          <w:szCs w:val="24"/>
        </w:rPr>
        <w:t>проектной деятельности на уроках и во внеурочной деятельности;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определить эффективность работы методических объединений по вопросам реализации </w:t>
      </w:r>
      <w:r>
        <w:rPr>
          <w:rFonts w:hAnsi="Times New Roman" w:cs="Times New Roman"/>
          <w:color w:val="000000"/>
          <w:sz w:val="24"/>
          <w:szCs w:val="24"/>
        </w:rPr>
        <w:t>учебной исследовательской и </w:t>
      </w:r>
      <w:r>
        <w:rPr>
          <w:rFonts w:hAnsi="Times New Roman" w:cs="Times New Roman"/>
          <w:color w:val="000000"/>
          <w:sz w:val="24"/>
          <w:szCs w:val="24"/>
        </w:rPr>
        <w:t>проектной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Нормативное обеспечение: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29.12.2012 № 273-ФЗ</w:t>
      </w:r>
      <w:r>
        <w:rPr>
          <w:rFonts w:hAnsi="Times New Roman" w:cs="Times New Roman"/>
          <w:color w:val="000000"/>
          <w:sz w:val="24"/>
          <w:szCs w:val="24"/>
        </w:rPr>
        <w:t> «Об образовании в Российской Федерации»;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ООП НОО </w:t>
      </w:r>
      <w:r>
        <w:rPr>
          <w:rFonts w:hAnsi="Times New Roman" w:cs="Times New Roman"/>
          <w:color w:val="000000"/>
          <w:sz w:val="24"/>
          <w:szCs w:val="24"/>
        </w:rPr>
        <w:t>по ФГОС НОО-2021 и ФОП 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</w:rPr>
        <w:t>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ООП ООО </w:t>
      </w:r>
      <w:r>
        <w:rPr>
          <w:rFonts w:hAnsi="Times New Roman" w:cs="Times New Roman"/>
          <w:color w:val="000000"/>
          <w:sz w:val="24"/>
          <w:szCs w:val="24"/>
        </w:rPr>
        <w:t>по ФГОС ООО-2021 и ФОП 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</w:rPr>
        <w:t>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ООП СОО </w:t>
      </w:r>
      <w:r>
        <w:rPr>
          <w:rFonts w:hAnsi="Times New Roman" w:cs="Times New Roman"/>
          <w:color w:val="000000"/>
          <w:sz w:val="24"/>
          <w:szCs w:val="24"/>
        </w:rPr>
        <w:t>по обновленному ФГОС СОО и ФОП 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</w:rPr>
        <w:t>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проектной 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</w:rPr>
        <w:t>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ХОД ПРОВЕРКИ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Контрольными точками внутришкольного контроля по организации проектной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первом полугодии 2023/24</w:t>
      </w:r>
      <w:r>
        <w:rPr>
          <w:rFonts w:hAnsi="Times New Roman" w:cs="Times New Roman"/>
          <w:color w:val="000000"/>
          <w:sz w:val="24"/>
          <w:szCs w:val="24"/>
        </w:rPr>
        <w:t> учебного года являются учебные проекты обучающихся, критерии защиты учебного 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начала учебного года в рамках заседания методического объединения был рассмотрен вопрос о включении проектов в рабочие программы учебных предметов. Педагогами были скорректированы рабочие программы и внесены изменения в календарно-тематические планирования. Руководители методических объединений составили список тем учебных проектов. Каждый обучающийся мог выбрать проект по любому предмету. Для организации проектной деятельности администрация школы совместно с методическим советом определили: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1–4-х классов – решение проектных задач на уроках по всем учебным предметам;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5–8-х классов – защиту проектов в классе;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9–10-х классов – публичную защиту индивидуальных проектов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Также был принят план реализации проектной деятельности на </w:t>
      </w:r>
      <w:r>
        <w:rPr>
          <w:rFonts w:hAnsi="Times New Roman" w:cs="Times New Roman"/>
          <w:color w:val="000000"/>
          <w:sz w:val="24"/>
          <w:szCs w:val="24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> учебный год. План представлен в таблице 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Таблица 1. План реализации исследовательской и проектной деятельности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Второе полугодие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обучающимся темы проекта из подготовленного руководителями методических объединений списка по любому предмету.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 оформление паспорта проекта обучающимся, презентации и выступления.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Групповые и индивидуальные консультации для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 проекта в классе согласно составленному учителями графику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9–10-е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Самостоятельный выбор обучающимся темы по любому предмету.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 оформление паспорта проекта обучающимся, презентации и выступления.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Групповые и индивидуальные консультации для обучающихся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 проекта на школьной конференции согласно составленному графику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Проанализированы календарно-тематические планирования (далее – КТП) в классных журналах по учебным предметам на наличие в них записей об учебных проектах. Перечень проектов, включенных в КТП по предметам, приведен в таблице 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2. Проекты, которые включены в КТП в классных журналах по учебным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явления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Пушкин. Интересные факты из жизни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Свойства действий над числами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Правление Петра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Проанализирован выбор учениками </w:t>
      </w:r>
      <w:r>
        <w:rPr>
          <w:rFonts w:hAnsi="Times New Roman" w:cs="Times New Roman"/>
          <w:color w:val="000000"/>
          <w:sz w:val="24"/>
          <w:szCs w:val="24"/>
        </w:rPr>
        <w:t>9–10-х</w:t>
      </w:r>
      <w:r>
        <w:rPr>
          <w:rFonts w:hAnsi="Times New Roman" w:cs="Times New Roman"/>
          <w:color w:val="000000"/>
          <w:sz w:val="24"/>
          <w:szCs w:val="24"/>
        </w:rPr>
        <w:t xml:space="preserve"> классов учебных предметов для выполнения проектных работ. Выбраны такие учебные предметы, как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еография, геометрия, история, обществознание, физическая культура, литература, русский язык.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методическом совете школы были представлены оценочные карты защиты проектов, которые разработали методические объединения учителей. При согласовании была утверждена единая оценочная карта защиты проекта.</w:t>
      </w:r>
      <w:r>
        <w:rPr>
          <w:rFonts w:hAnsi="Times New Roman" w:cs="Times New Roman"/>
          <w:color w:val="000000"/>
          <w:sz w:val="24"/>
          <w:szCs w:val="24"/>
        </w:rPr>
        <w:t xml:space="preserve"> Так, анализ всех заявленных проектов осуществлялся на основе единой карты защиты проекта. Карта представлена в таблице 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3. Форма карты защиты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обучающегося/класс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Предмет/учитель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проекта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 РЕЗУЛЬТАТЫ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Виды УУД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Количественный показатель: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 – нет соответствия;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– частично;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– полностью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самостоятельно определять цель;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планировать действия по достижению цели;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контролировать и осуществлять самооценку собственной деятельности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устанавливать причинно-следственные связи;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выполнять алгоритмы действий;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ориентироваться в информации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решать коммуникативные задачи;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уметь вести диалог;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уметь презентовать проект;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уметь грамотно говорить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ЗНАЧИМОСТЬ ПРОЕКТА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применение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Данный материал можно использовать на уроках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 проекта (уровень)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(от 1 до 5 баллов)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(от 6 до 8 баллов)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 комиссии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Также разработана форма паспорта учебного проекта. Форма для заполнения паспорта проекта приведена в таблице 4.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4. Форма паспорта учебного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Тема учебного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Цель проекта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Объект исследования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Предмет исследования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Актуальность проекта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Подготовительный этап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Основной этап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Заключительный этап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 Продукт проекта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hAnsi="Times New Roman" w:cs="Times New Roman"/>
          <w:color w:val="000000"/>
          <w:sz w:val="24"/>
          <w:szCs w:val="24"/>
        </w:rPr>
        <w:t>первого полугодия 2023/24</w:t>
      </w:r>
      <w:r>
        <w:rPr>
          <w:rFonts w:hAnsi="Times New Roman" w:cs="Times New Roman"/>
          <w:color w:val="000000"/>
          <w:sz w:val="24"/>
          <w:szCs w:val="24"/>
        </w:rPr>
        <w:t xml:space="preserve"> учебного года проведено </w:t>
      </w:r>
      <w:r>
        <w:rPr>
          <w:rFonts w:hAnsi="Times New Roman" w:cs="Times New Roman"/>
          <w:color w:val="000000"/>
          <w:sz w:val="24"/>
          <w:szCs w:val="24"/>
        </w:rPr>
        <w:t>54</w:t>
      </w:r>
      <w:r>
        <w:rPr>
          <w:rFonts w:hAnsi="Times New Roman" w:cs="Times New Roman"/>
          <w:color w:val="000000"/>
          <w:sz w:val="24"/>
          <w:szCs w:val="24"/>
        </w:rPr>
        <w:t xml:space="preserve"> индивидуальные и 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 xml:space="preserve"> групповые консультации для обучающихся по выполнению и описанию 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рамках внеурочных занятий ведется работа над учебными проектами. Перечень проектов представлен в таблице 5.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5. Проекты, которые реализуются в рамках внеурочной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Здоровое питание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Витамины с грядки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Занимательный французский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Привет, Париж!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Анализ календарных планов воспитательной работы школы показывает </w:t>
      </w:r>
      <w:r>
        <w:rPr>
          <w:rFonts w:hAnsi="Times New Roman" w:cs="Times New Roman"/>
          <w:color w:val="000000"/>
          <w:sz w:val="24"/>
          <w:szCs w:val="24"/>
        </w:rPr>
        <w:t>реализацию социальных проектов в 1–11-х классах, защита которых пройдет во втором полугодии, в том числе на региональном и всероссийском уровне.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Совет обучающихся участвует и реализует на базе школы проекты Российского движения школьников. Например, «Школьная классика». В нем принимает участие 16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Таким образом, школа реализует проектные задачи </w:t>
      </w:r>
      <w:r>
        <w:rPr>
          <w:rFonts w:hAnsi="Times New Roman" w:cs="Times New Roman"/>
          <w:color w:val="000000"/>
          <w:sz w:val="24"/>
          <w:szCs w:val="24"/>
        </w:rPr>
        <w:t>в начальной школе, учебные проекты по предметам учебного плана, проекты в рамках курсов внеурочной деятельности, социальные проекты во внеклассной работе. Также обучающиеся школы участвуют в региональных и всероссийских проектах, таких как «Большая перемена», «Билет в будущее», «Успех каждого ребенка», «Точка роста». В них участвует 23 процента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Организация проектной деятельности на уроке и во внеурочное время в школе имеет </w:t>
      </w:r>
      <w:r>
        <w:rPr>
          <w:rFonts w:hAnsi="Times New Roman" w:cs="Times New Roman"/>
          <w:color w:val="000000"/>
          <w:sz w:val="24"/>
          <w:szCs w:val="24"/>
        </w:rPr>
        <w:t>удовлетворительную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оценку.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Выявлено </w:t>
      </w:r>
      <w:r>
        <w:rPr>
          <w:rFonts w:hAnsi="Times New Roman" w:cs="Times New Roman"/>
          <w:color w:val="000000"/>
          <w:sz w:val="24"/>
          <w:szCs w:val="24"/>
        </w:rPr>
        <w:t>недостаточное</w:t>
      </w:r>
      <w:r>
        <w:rPr>
          <w:rFonts w:hAnsi="Times New Roman" w:cs="Times New Roman"/>
          <w:color w:val="000000"/>
          <w:sz w:val="24"/>
          <w:szCs w:val="24"/>
        </w:rPr>
        <w:t xml:space="preserve"> вовлечение обучающихся в проектную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Проектные задачи являются составной частью уроков в начальной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Проектная деятельность реализуется на всех учебных занятиях в 5–11-х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Учителям физической культуры, изобразительного искусства необходимо активизировать работу по проектной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Использование технологии проектирования на уроках и во внеурочной деятельности позволяет: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 метапредметные результаты: регулятивные, коммуникативные, познавательные;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личностное отношение к собственной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способствовать повышению мотивации к учебной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Календарно-тематические планирования по предметам содержат тематические учебные проекты.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Календарные планы воспитательной работы школы предусматривают реализацию социальных проектов.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Заместителю директора по учебно-воспитательной работе </w:t>
      </w:r>
      <w:r>
        <w:rPr>
          <w:rFonts w:hAnsi="Times New Roman" w:cs="Times New Roman"/>
          <w:color w:val="000000"/>
          <w:sz w:val="24"/>
          <w:szCs w:val="24"/>
        </w:rPr>
        <w:t>Ивановой А.А.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Продолжить работу по организации проектной деятельности в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Направить педагогов на курсы повышения квалификации по теме «Проектная деятельность на уроке»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31.01.2024.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Организовать институт наставничества по вопросам организации проектной деятельности на уроках с молодыми педагогами </w:t>
      </w:r>
      <w:r>
        <w:rPr>
          <w:rFonts w:hAnsi="Times New Roman" w:cs="Times New Roman"/>
          <w:color w:val="000000"/>
          <w:sz w:val="24"/>
          <w:szCs w:val="24"/>
        </w:rPr>
        <w:t xml:space="preserve">в срок до </w:t>
      </w:r>
      <w:r>
        <w:rPr>
          <w:rFonts w:hAnsi="Times New Roman" w:cs="Times New Roman"/>
          <w:color w:val="000000"/>
          <w:sz w:val="24"/>
          <w:szCs w:val="24"/>
        </w:rPr>
        <w:t>17.01.2024.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Заместителю директора по воспитательной работе </w:t>
      </w:r>
      <w:r>
        <w:rPr>
          <w:rFonts w:hAnsi="Times New Roman" w:cs="Times New Roman"/>
          <w:color w:val="000000"/>
          <w:sz w:val="24"/>
          <w:szCs w:val="24"/>
        </w:rPr>
        <w:t>Марининой М.В. активизировать деятельность классных коллективов по участию в проектах Российского движения школьников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Руководителю методического совета </w:t>
      </w:r>
      <w:r>
        <w:rPr>
          <w:rFonts w:hAnsi="Times New Roman" w:cs="Times New Roman"/>
          <w:color w:val="000000"/>
          <w:sz w:val="24"/>
          <w:szCs w:val="24"/>
        </w:rPr>
        <w:t>Прокофьевой Н.В. сформировать методический банк учебных проектов и паспортов для дальнейшего использования в работе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31.01.2024.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Учителям-предметникам: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Продолжить уделять внимание проектной деятельности на уроках.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Овладеть методикой реализации учебных проектов в срок до </w:t>
      </w:r>
      <w:r>
        <w:rPr>
          <w:rFonts w:hAnsi="Times New Roman" w:cs="Times New Roman"/>
          <w:color w:val="000000"/>
          <w:sz w:val="24"/>
          <w:szCs w:val="24"/>
        </w:rPr>
        <w:t>31.01.2024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Классным руководителям: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Провести работу с обучающимися по реализации социальных проектов.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Привлекать обучающихся к участию во всероссийских конкурсах проектных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качеству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Калинина М.А.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справкой ознакомлен(ы):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Иванова А.А.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6d3af08af8b4d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