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Таблица анализа методической работы школы по плану</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Задача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Степень выполнения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Причины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Повышать качество образования путем объединения усилий методической и психологической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текущем учебном году были запланированы: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индивидуальных консультаций для педагогов;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анкетирование психологом школы;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психологический тренинг с членами педагогического коллектива.</w:t>
            </w:r>
          </w:p>
          <w:p>
            <w:pPr>
              <w:spacing w:line="240" w:lineRule="auto"/>
              <w:rPr>
                <w:rFonts w:hAnsi="Times New Roman" w:cs="Times New Roman"/>
                <w:color w:val="000000"/>
                <w:sz w:val="24"/>
                <w:szCs w:val="24"/>
              </w:rPr>
            </w:pPr>
            <w:r>
              <w:rPr>
                <w:rFonts w:hAnsi="Times New Roman" w:cs="Times New Roman"/>
                <w:color w:val="000000"/>
                <w:sz w:val="24"/>
                <w:szCs w:val="24"/>
              </w:rPr>
              <w:t>Анкетирование и тренинг были направлены на выявление уровня психологического микроклимата в педагогическом коллективе (уровень сплоченности – выше среднего). План работы психолога выполнен на 70 процентов.</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задача решена на удовлетворительном уровне, требует дальнейшего решения в следующем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 ушла в декретный отпуск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Изучать достижения педагогической науки и практики, новые педагогические технологии и методики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Практика показала, что, изучая современные образовательные технологии, нельзя забывать основные вопросы дидактики, лежащие в основе любой технологии. Поэтому в методическую систему работы школы был включен постоянно действующий дидактический практикум, в рамках которого актуализировались знания педагогов об общих принципах и закономерностях дидактики, формах, методах, приемах обучения и др.</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в целом задача решена на удовлетворительном уровне. Необходимо продолжить работу по освоению и применению учителями школы современных образовательных технологий с целью повышения качества образования обучающихся и своего методического уровня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Низкий уровень мотивации отдельных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Перегрузка руководителей ШМО внеплановыми вопросами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Совершенствовать систему методической работы школы, в центре которой – учитель, способствующую развитию педагогического творчества и инициативы, самореализации педагогических кадров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Работа школьной методической службы по отношению к педагогам осуществляется по трем направлениям: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Диагностическая деятельность.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Развивающая деятельность.</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Коррекционная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Пересмотрена структура методической работы, центр которой – учитель как главный субъект управления своим профессиональным ростом. При проведении методических семинаров, дидактического практикума работу осуществляли сами педагоги (было организовано распределение между ШМО), а руководитель МСШ и заместитель директора по УВР курировали и направляли педагогов. В течение года осуществлялся выпуск методического сборника, к его выпуску также привлекались члены педагогического коллектива. Работа строилась на добровольной основе. Все педагоги были мотивированы на участие в различных профессиональных конкурсах и конференциях, информация о которых своевременно доводилась до членов педагогического коллектива. Учительская была оформлена портретами педагогов-классиков. Проведен Праздник белых журавлей и конференция «Христианские мотивы в культурно-историческом наследии страны».</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задача решена на удовлетворительном уровне, требует дальнейшего развития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выпуске методического вестника в основном принимали участие руководители ШМО и МСШ.</w:t>
            </w:r>
          </w:p>
          <w:p>
            <w:pPr>
              <w:spacing w:line="240" w:lineRule="auto"/>
              <w:rPr>
                <w:rFonts w:hAnsi="Times New Roman" w:cs="Times New Roman"/>
                <w:color w:val="000000"/>
                <w:sz w:val="24"/>
                <w:szCs w:val="24"/>
              </w:rPr>
            </w:pPr>
            <w:r>
              <w:rPr>
                <w:rFonts w:hAnsi="Times New Roman" w:cs="Times New Roman"/>
                <w:color w:val="000000"/>
                <w:sz w:val="24"/>
                <w:szCs w:val="24"/>
              </w:rPr>
              <w:t>Недостаточная интеграция усилий администрации.</w:t>
            </w:r>
          </w:p>
          <w:p>
            <w:pPr>
              <w:spacing w:line="240" w:lineRule="auto"/>
              <w:rPr>
                <w:rFonts w:hAnsi="Times New Roman" w:cs="Times New Roman"/>
                <w:color w:val="000000"/>
                <w:sz w:val="24"/>
                <w:szCs w:val="24"/>
              </w:rPr>
            </w:pPr>
            <w:r>
              <w:rPr>
                <w:rFonts w:hAnsi="Times New Roman" w:cs="Times New Roman"/>
                <w:color w:val="000000"/>
                <w:sz w:val="24"/>
                <w:szCs w:val="24"/>
              </w:rPr>
              <w:t>Избыточное количество структурных звеньев методической сети</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 самостоятельного выстраивания траектории своего профессионального развития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Задача решалась через активное вовлечение педагогов в профессиональные конкурсы, олимпиады, фестивали различного уровня. Педагоги выступали на семинарах и конференциях разного уровня. По вопросу совершенствования системы самообразования учителей, прохождения курсов повышения квалификации педагогами запланированные мероприятия выполнены (см. таблицы со статистическими данными).</w:t>
            </w:r>
          </w:p>
          <w:p>
            <w:pPr>
              <w:spacing w:line="240" w:lineRule="auto"/>
              <w:rPr>
                <w:rFonts w:hAnsi="Times New Roman" w:cs="Times New Roman"/>
                <w:color w:val="000000"/>
                <w:sz w:val="24"/>
                <w:szCs w:val="24"/>
              </w:rPr>
            </w:pPr>
            <w:r>
              <w:rPr>
                <w:rFonts w:hAnsi="Times New Roman" w:cs="Times New Roman"/>
                <w:color w:val="000000"/>
                <w:sz w:val="24"/>
                <w:szCs w:val="24"/>
              </w:rPr>
              <w:t>Семинары, проводимые на базе школы:</w:t>
            </w:r>
            <w:r>
              <w:br/>
            </w:r>
            <w:r>
              <w:rPr>
                <w:rFonts w:hAnsi="Times New Roman" w:cs="Times New Roman"/>
                <w:color w:val="000000"/>
                <w:sz w:val="24"/>
                <w:szCs w:val="24"/>
              </w:rPr>
              <w:t>Н.Л. Галеева «Как анализировать урок».</w:t>
            </w:r>
          </w:p>
          <w:p>
            <w:pPr>
              <w:spacing w:line="240" w:lineRule="auto"/>
              <w:rPr>
                <w:rFonts w:hAnsi="Times New Roman" w:cs="Times New Roman"/>
                <w:color w:val="000000"/>
                <w:sz w:val="24"/>
                <w:szCs w:val="24"/>
              </w:rPr>
            </w:pPr>
            <w:r>
              <w:rPr>
                <w:rFonts w:hAnsi="Times New Roman" w:cs="Times New Roman"/>
                <w:color w:val="000000"/>
                <w:sz w:val="24"/>
                <w:szCs w:val="24"/>
              </w:rPr>
              <w:t>В рамках данных семинаров проводились открытые уроки, выступление по темам семинара:</w:t>
            </w:r>
            <w:r>
              <w:br/>
            </w:r>
            <w:r>
              <w:rPr>
                <w:rFonts w:hAnsi="Times New Roman" w:cs="Times New Roman"/>
                <w:color w:val="000000"/>
                <w:sz w:val="24"/>
                <w:szCs w:val="24"/>
              </w:rPr>
              <w:t>В.И. Болдина «Как использовать карту анализа урока».</w:t>
            </w:r>
          </w:p>
          <w:p>
            <w:pPr>
              <w:spacing w:line="240" w:lineRule="auto"/>
              <w:rPr>
                <w:rFonts w:hAnsi="Times New Roman" w:cs="Times New Roman"/>
                <w:color w:val="000000"/>
                <w:sz w:val="24"/>
                <w:szCs w:val="24"/>
              </w:rPr>
            </w:pPr>
            <w:r>
              <w:rPr>
                <w:rFonts w:hAnsi="Times New Roman" w:cs="Times New Roman"/>
                <w:color w:val="000000"/>
                <w:sz w:val="24"/>
                <w:szCs w:val="24"/>
              </w:rPr>
              <w:t>Участие членов педагогического коллектива (и школы) в профессиональных конкурсах, олимпиадах, конференциях:</w:t>
            </w:r>
            <w:r>
              <w:br/>
            </w:r>
            <w:r>
              <w:rPr>
                <w:rFonts w:hAnsi="Times New Roman" w:cs="Times New Roman"/>
                <w:color w:val="000000"/>
                <w:sz w:val="24"/>
                <w:szCs w:val="24"/>
              </w:rPr>
              <w:t>В.Д. Олегов, конкурс педагогического мастерства «Души прекрасные порывы».</w:t>
            </w:r>
          </w:p>
          <w:p>
            <w:pPr>
              <w:spacing w:line="240" w:lineRule="auto"/>
              <w:rPr>
                <w:rFonts w:hAnsi="Times New Roman" w:cs="Times New Roman"/>
                <w:color w:val="000000"/>
                <w:sz w:val="24"/>
                <w:szCs w:val="24"/>
              </w:rPr>
            </w:pPr>
            <w:r>
              <w:rPr>
                <w:rFonts w:hAnsi="Times New Roman" w:cs="Times New Roman"/>
                <w:color w:val="000000"/>
                <w:sz w:val="24"/>
                <w:szCs w:val="24"/>
              </w:rPr>
              <w:t>Публикации методических разработок (в том числе в сети Интернет):</w:t>
            </w:r>
            <w:r>
              <w:br/>
            </w:r>
            <w:r>
              <w:rPr>
                <w:rFonts w:hAnsi="Times New Roman" w:cs="Times New Roman"/>
                <w:color w:val="000000"/>
                <w:sz w:val="24"/>
                <w:szCs w:val="24"/>
              </w:rPr>
              <w:t>Е.С. Буравчик «Как интегрировать внеурочную деятельность в образовательный процесс».</w:t>
            </w:r>
          </w:p>
          <w:p>
            <w:pPr>
              <w:spacing w:line="240" w:lineRule="auto"/>
              <w:rPr>
                <w:rFonts w:hAnsi="Times New Roman" w:cs="Times New Roman"/>
                <w:color w:val="000000"/>
                <w:sz w:val="24"/>
                <w:szCs w:val="24"/>
              </w:rPr>
            </w:pPr>
            <w:r>
              <w:rPr>
                <w:rFonts w:hAnsi="Times New Roman" w:cs="Times New Roman"/>
                <w:color w:val="000000"/>
                <w:sz w:val="24"/>
                <w:szCs w:val="24"/>
              </w:rPr>
              <w:t>Посещение вебинаров педагогами школы:</w:t>
            </w:r>
            <w:r>
              <w:br/>
            </w:r>
            <w:r>
              <w:rPr>
                <w:rFonts w:hAnsi="Times New Roman" w:cs="Times New Roman"/>
                <w:color w:val="000000"/>
                <w:sz w:val="24"/>
                <w:szCs w:val="24"/>
              </w:rPr>
              <w:t>Н.Л. Галеева «Как анализировать урок».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2021 году школе был присвоен статус региональной инновационной площадки по теме </w:t>
            </w:r>
            <w:r>
              <w:rPr>
                <w:rFonts w:hAnsi="Times New Roman" w:cs="Times New Roman"/>
                <w:color w:val="000000"/>
                <w:sz w:val="24"/>
                <w:szCs w:val="24"/>
              </w:rPr>
              <w:t>«</w:t>
            </w:r>
            <w:r>
              <w:rPr>
                <w:rFonts w:hAnsi="Times New Roman" w:cs="Times New Roman"/>
                <w:color w:val="000000"/>
                <w:sz w:val="24"/>
                <w:szCs w:val="24"/>
              </w:rPr>
              <w:t>Формирование единого информационного пространства школы для достижения метапредметных результатов учащихся</w:t>
            </w:r>
            <w:r>
              <w:rPr>
                <w:rFonts w:hAnsi="Times New Roman" w:cs="Times New Roman"/>
                <w:color w:val="000000"/>
                <w:sz w:val="24"/>
                <w:szCs w:val="24"/>
              </w:rPr>
              <w: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констатируется оптимальный уровень творческой активности педагогов и эффективно спланированная методическая работа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Отрицательная динамика количества педагогов – призеров профессиональных конкурсов</w:t>
            </w:r>
          </w:p>
        </w:tc>
      </w:tr>
      <w:tr>
        <w:trPr>
          <w:trHeight w:val="3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Выявлять, обобщать и распространять передовой педагогический опыт обучения и воспитания по вопросам эффективной работы (в том числе профориентационной) с учащимися разных категорий (высокомотивированными, слабоуспевающими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Для реализации поставленной задачи перед каждым руководителем ШМО в начале учебного года была поставлена задача выявить и обобщить педагогический опыт творчески работающих педагогов.</w:t>
            </w:r>
          </w:p>
          <w:p>
            <w:pPr>
              <w:spacing w:line="240" w:lineRule="auto"/>
              <w:rPr>
                <w:rFonts w:hAnsi="Times New Roman" w:cs="Times New Roman"/>
                <w:color w:val="000000"/>
                <w:sz w:val="24"/>
                <w:szCs w:val="24"/>
              </w:rPr>
            </w:pPr>
            <w:r>
              <w:rPr>
                <w:rFonts w:hAnsi="Times New Roman" w:cs="Times New Roman"/>
                <w:color w:val="000000"/>
                <w:sz w:val="24"/>
                <w:szCs w:val="24"/>
              </w:rPr>
              <w:t>На расширенном заседании МСШ руководители ШМО представляли результаты проделанной работы. Однако уровень решения данной задачи невысокий, так как обобщение опыта не носит системного характера, чаще эта работа индивидуализирована (опыт обобщается не на заседании ШМО, а на уровне учителя – руководителя ШМО).</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в целом данная задача решена на удовлетворительном уровне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Низкая мотивация отдельных педагогов к данному виду деятельности. Недостаточная активность педагогов по вопросу подготовки публикаций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Стимулировать рост квалификации, профессионализма и продуктивности педагогического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рамках совершенствования системы мотивации труда педагогов были подготовлены материалы для награждения лучших педагогов. Обновлена школьная Доска почета. Регулярно распределялся фонд стимулирования педагогов согласно их достижениям за определенный период. Все педагоги своевременно прошли курсы повышения квалификации, организованные на базе ГАОУ ДПО «КГИРО», летней школы при МГУ и др.</w:t>
            </w:r>
          </w:p>
          <w:p>
            <w:pPr>
              <w:spacing w:line="240" w:lineRule="auto"/>
              <w:rPr>
                <w:rFonts w:hAnsi="Times New Roman" w:cs="Times New Roman"/>
                <w:color w:val="000000"/>
                <w:sz w:val="24"/>
                <w:szCs w:val="24"/>
              </w:rPr>
            </w:pPr>
            <w:r>
              <w:rPr>
                <w:rFonts w:hAnsi="Times New Roman" w:cs="Times New Roman"/>
                <w:b/>
                <w:bCs/>
                <w:color w:val="000000"/>
                <w:sz w:val="24"/>
                <w:szCs w:val="24"/>
              </w:rPr>
              <w:t>Вывод:</w:t>
            </w:r>
            <w:r>
              <w:rPr>
                <w:rFonts w:hAnsi="Times New Roman" w:cs="Times New Roman"/>
                <w:color w:val="000000"/>
                <w:sz w:val="24"/>
                <w:szCs w:val="24"/>
              </w:rPr>
              <w:t xml:space="preserve"> в целом данная задача решена на удовлетворительном уровне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Недостаточное внимание к индивидуальной работе с отдельными педагогами</w:t>
            </w:r>
          </w:p>
        </w:tc>
      </w:tr>
    </w:tbl>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35a30c0813143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