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Таблица анализа методической работы школы по плану</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Задача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Степень выполнения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Причины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Повышать качество образования путем объединения усилий методической и психологической служб</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текущем учебном году были запланированы:</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 индивидуальных консультаций для педагогов;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анкетирование психологом школы;</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психологический тренинг с членами педагогического коллектива.</w:t>
            </w:r>
          </w:p>
          <w:p>
            <w:pPr>
              <w:spacing w:line="240" w:lineRule="auto"/>
              <w:rPr>
                <w:rFonts w:hAnsi="Times New Roman" w:cs="Times New Roman"/>
                <w:color w:val="000000"/>
                <w:sz w:val="24"/>
                <w:szCs w:val="24"/>
              </w:rPr>
            </w:pPr>
            <w:r>
              <w:rPr>
                <w:rFonts w:hAnsi="Times New Roman" w:cs="Times New Roman"/>
                <w:color w:val="000000"/>
                <w:sz w:val="24"/>
                <w:szCs w:val="24"/>
              </w:rPr>
              <w:t>Анкетирование и тренинг были направлены на выявление уровня психологического микроклимата в педагогическом коллективе (уровень сплоченности – выше среднего). План работы психолога выполнен на 70 процентов.</w:t>
            </w:r>
          </w:p>
          <w:p>
            <w:pPr>
              <w:spacing w:line="240" w:lineRule="auto"/>
              <w:rPr>
                <w:rFonts w:hAnsi="Times New Roman" w:cs="Times New Roman"/>
                <w:color w:val="000000"/>
                <w:sz w:val="24"/>
                <w:szCs w:val="24"/>
              </w:rPr>
            </w:pPr>
            <w:r>
              <w:rPr>
                <w:rFonts w:hAnsi="Times New Roman" w:cs="Times New Roman"/>
                <w:b/>
                <w:bCs/>
                <w:color w:val="000000"/>
                <w:sz w:val="24"/>
                <w:szCs w:val="24"/>
              </w:rPr>
              <w:t>Вывод:</w:t>
            </w:r>
            <w:r>
              <w:rPr>
                <w:rFonts w:hAnsi="Times New Roman" w:cs="Times New Roman"/>
                <w:color w:val="000000"/>
                <w:sz w:val="24"/>
                <w:szCs w:val="24"/>
              </w:rPr>
              <w:t xml:space="preserve"> задача решена на удовлетворительном уровне, требует дальнейшего решения в следующем учебном году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Психолог ушла в декретный отпуск</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Изучать достижения педагогической науки и практики, новые педагогические технологии и методики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Практика показала, что, изучая современные образовательные технологии, нельзя забывать основные вопросы дидактики, лежащие в основе любой технологии. Поэтому в методическую систему работы школы был включен постоянно действующий дидактический практикум, в рамках которого актуализировались знания педагогов об общих принципах и закономерностях дидактики, формах, методах, приемах обучения и др.</w:t>
            </w:r>
          </w:p>
          <w:p>
            <w:pPr>
              <w:spacing w:line="240" w:lineRule="auto"/>
              <w:rPr>
                <w:rFonts w:hAnsi="Times New Roman" w:cs="Times New Roman"/>
                <w:color w:val="000000"/>
                <w:sz w:val="24"/>
                <w:szCs w:val="24"/>
              </w:rPr>
            </w:pPr>
            <w:r>
              <w:rPr>
                <w:rFonts w:hAnsi="Times New Roman" w:cs="Times New Roman"/>
                <w:b/>
                <w:bCs/>
                <w:color w:val="000000"/>
                <w:sz w:val="24"/>
                <w:szCs w:val="24"/>
              </w:rPr>
              <w:t>Вывод:</w:t>
            </w:r>
            <w:r>
              <w:rPr>
                <w:rFonts w:hAnsi="Times New Roman" w:cs="Times New Roman"/>
                <w:color w:val="000000"/>
                <w:sz w:val="24"/>
                <w:szCs w:val="24"/>
              </w:rPr>
              <w:t xml:space="preserve"> в целом задача решена на удовлетворительном уровне. Необходимо продолжить работу по освоению и применению учителями школы современных образовательных технологий с целью повышения качества образования обучающихся и своего методического уровня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Низкий уровень мотивации отдельных педагогов.</w:t>
            </w:r>
          </w:p>
          <w:p>
            <w:pPr>
              <w:spacing w:line="240" w:lineRule="auto"/>
              <w:rPr>
                <w:rFonts w:hAnsi="Times New Roman" w:cs="Times New Roman"/>
                <w:color w:val="000000"/>
                <w:sz w:val="24"/>
                <w:szCs w:val="24"/>
              </w:rPr>
            </w:pPr>
            <w:r>
              <w:rPr>
                <w:rFonts w:hAnsi="Times New Roman" w:cs="Times New Roman"/>
                <w:color w:val="000000"/>
                <w:sz w:val="24"/>
                <w:szCs w:val="24"/>
              </w:rPr>
              <w:t>Перегрузка руководителей ШМО внеплановыми вопросами</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Совершенствовать систему методической работы школы, в центре которой – учитель, способствующую развитию педагогического творчества и инициативы, самореализации педагогических кадров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Работа школьной методической службы по отношению к педагогам осуществляется по трем направлениям:</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Диагностическая деятельность.</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Развивающая деятельность.</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Коррекционная деятельность.</w:t>
            </w:r>
          </w:p>
          <w:p>
            <w:pPr>
              <w:spacing w:line="240" w:lineRule="auto"/>
              <w:rPr>
                <w:rFonts w:hAnsi="Times New Roman" w:cs="Times New Roman"/>
                <w:color w:val="000000"/>
                <w:sz w:val="24"/>
                <w:szCs w:val="24"/>
              </w:rPr>
            </w:pPr>
            <w:r>
              <w:rPr>
                <w:rFonts w:hAnsi="Times New Roman" w:cs="Times New Roman"/>
                <w:color w:val="000000"/>
                <w:sz w:val="24"/>
                <w:szCs w:val="24"/>
              </w:rPr>
              <w:t>Пересмотрена структура методической работы, центр которой – учитель как главный субъект управления своим профессиональным ростом. При проведении методических семинаров, дидактического практикума работу осуществляли сами педагоги (было организовано распределение между ШМО), а руководитель МСШ и заместитель директора по УВР курировали и направляли педагогов. В течение года осуществлялся выпуск методического сборника, к его выпуску также привлекались члены педагогического коллектива. Работа строилась на добровольной основе. Все педагоги были мотивированы на участие в различных профессиональных конкурсах и конференциях, информация о которых своевременно доводилась до членов педагогического коллектива. Учительская была оформлена портретами педагогов-классиков. Проведен Праздник белых журавлей и конференция «Христианские мотивы в культурно-историческом наследии страны».</w:t>
            </w:r>
          </w:p>
          <w:p>
            <w:pPr>
              <w:spacing w:line="240" w:lineRule="auto"/>
              <w:rPr>
                <w:rFonts w:hAnsi="Times New Roman" w:cs="Times New Roman"/>
                <w:color w:val="000000"/>
                <w:sz w:val="24"/>
                <w:szCs w:val="24"/>
              </w:rPr>
            </w:pPr>
            <w:r>
              <w:rPr>
                <w:rFonts w:hAnsi="Times New Roman" w:cs="Times New Roman"/>
                <w:b/>
                <w:bCs/>
                <w:color w:val="000000"/>
                <w:sz w:val="24"/>
                <w:szCs w:val="24"/>
              </w:rPr>
              <w:t>Вывод:</w:t>
            </w:r>
            <w:r>
              <w:rPr>
                <w:rFonts w:hAnsi="Times New Roman" w:cs="Times New Roman"/>
                <w:color w:val="000000"/>
                <w:sz w:val="24"/>
                <w:szCs w:val="24"/>
              </w:rPr>
              <w:t xml:space="preserve"> задача решена на удовлетворительном уровне, требует дальнейшего развития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выпуске методического вестника в основном принимали участие руководители ШМО и МСШ.</w:t>
            </w:r>
          </w:p>
          <w:p>
            <w:pPr>
              <w:spacing w:line="240" w:lineRule="auto"/>
              <w:rPr>
                <w:rFonts w:hAnsi="Times New Roman" w:cs="Times New Roman"/>
                <w:color w:val="000000"/>
                <w:sz w:val="24"/>
                <w:szCs w:val="24"/>
              </w:rPr>
            </w:pPr>
            <w:r>
              <w:rPr>
                <w:rFonts w:hAnsi="Times New Roman" w:cs="Times New Roman"/>
                <w:color w:val="000000"/>
                <w:sz w:val="24"/>
                <w:szCs w:val="24"/>
              </w:rPr>
              <w:t>Недостаточная интеграция усилий администрации.</w:t>
            </w:r>
          </w:p>
          <w:p>
            <w:pPr>
              <w:spacing w:line="240" w:lineRule="auto"/>
              <w:rPr>
                <w:rFonts w:hAnsi="Times New Roman" w:cs="Times New Roman"/>
                <w:color w:val="000000"/>
                <w:sz w:val="24"/>
                <w:szCs w:val="24"/>
              </w:rPr>
            </w:pPr>
            <w:r>
              <w:rPr>
                <w:rFonts w:hAnsi="Times New Roman" w:cs="Times New Roman"/>
                <w:color w:val="000000"/>
                <w:sz w:val="24"/>
                <w:szCs w:val="24"/>
              </w:rPr>
              <w:t>Избыточное количество структурных звеньев методической сети</w:t>
            </w:r>
          </w:p>
        </w:tc>
      </w:tr>
      <w:tr>
        <w:trPr>
          <w:trHeight w:val="4"/>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 самостоятельного выстраивания траектории своего профессионального развития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Задача решалась через активное вовлечение педагогов в профессиональные конкурсы, олимпиады, фестивали различного уровня. Педагоги выступали на семинарах и конференциях разного уровня. По вопросу совершенствования системы самообразования учителей, прохождения курсов повышения квалификации педагогами запланированные мероприятия выполнены (см. таблицы со статистическими данными).</w:t>
            </w:r>
          </w:p>
          <w:p>
            <w:pPr>
              <w:spacing w:line="240" w:lineRule="auto"/>
              <w:rPr>
                <w:rFonts w:hAnsi="Times New Roman" w:cs="Times New Roman"/>
                <w:color w:val="000000"/>
                <w:sz w:val="24"/>
                <w:szCs w:val="24"/>
              </w:rPr>
            </w:pPr>
            <w:r>
              <w:rPr>
                <w:rFonts w:hAnsi="Times New Roman" w:cs="Times New Roman"/>
                <w:color w:val="000000"/>
                <w:sz w:val="24"/>
                <w:szCs w:val="24"/>
              </w:rPr>
              <w:t>Семинары, проводимые на базе школы:</w:t>
            </w:r>
            <w:r>
              <w:br/>
            </w:r>
            <w:r>
              <w:rPr>
                <w:rFonts w:hAnsi="Times New Roman" w:cs="Times New Roman"/>
                <w:color w:val="000000"/>
                <w:sz w:val="24"/>
                <w:szCs w:val="24"/>
              </w:rPr>
              <w:t>Н.Л. Галеева «Как анализировать урок».</w:t>
            </w:r>
          </w:p>
          <w:p>
            <w:pPr>
              <w:spacing w:line="240" w:lineRule="auto"/>
              <w:rPr>
                <w:rFonts w:hAnsi="Times New Roman" w:cs="Times New Roman"/>
                <w:color w:val="000000"/>
                <w:sz w:val="24"/>
                <w:szCs w:val="24"/>
              </w:rPr>
            </w:pPr>
            <w:r>
              <w:rPr>
                <w:rFonts w:hAnsi="Times New Roman" w:cs="Times New Roman"/>
                <w:color w:val="000000"/>
                <w:sz w:val="24"/>
                <w:szCs w:val="24"/>
              </w:rPr>
              <w:t>В рамках данных семинаров проводились открытые уроки, выступление по темам семинара:</w:t>
            </w:r>
            <w:r>
              <w:br/>
            </w:r>
            <w:r>
              <w:rPr>
                <w:rFonts w:hAnsi="Times New Roman" w:cs="Times New Roman"/>
                <w:color w:val="000000"/>
                <w:sz w:val="24"/>
                <w:szCs w:val="24"/>
              </w:rPr>
              <w:t>В.И. Болдина «Как использовать карту анализа урока».</w:t>
            </w:r>
          </w:p>
          <w:p>
            <w:pPr>
              <w:spacing w:line="240" w:lineRule="auto"/>
              <w:rPr>
                <w:rFonts w:hAnsi="Times New Roman" w:cs="Times New Roman"/>
                <w:color w:val="000000"/>
                <w:sz w:val="24"/>
                <w:szCs w:val="24"/>
              </w:rPr>
            </w:pPr>
            <w:r>
              <w:rPr>
                <w:rFonts w:hAnsi="Times New Roman" w:cs="Times New Roman"/>
                <w:color w:val="000000"/>
                <w:sz w:val="24"/>
                <w:szCs w:val="24"/>
              </w:rPr>
              <w:t>Участие членов педагогического коллектива (и школы) в профессиональных конкурсах, олимпиадах, конференциях:</w:t>
            </w:r>
            <w:r>
              <w:br/>
            </w:r>
            <w:r>
              <w:rPr>
                <w:rFonts w:hAnsi="Times New Roman" w:cs="Times New Roman"/>
                <w:color w:val="000000"/>
                <w:sz w:val="24"/>
                <w:szCs w:val="24"/>
              </w:rPr>
              <w:t>В.Д. Олегов, конкурс педагогического мастерства «Души прекрасные порывы».</w:t>
            </w:r>
          </w:p>
          <w:p>
            <w:pPr>
              <w:spacing w:line="240" w:lineRule="auto"/>
              <w:rPr>
                <w:rFonts w:hAnsi="Times New Roman" w:cs="Times New Roman"/>
                <w:color w:val="000000"/>
                <w:sz w:val="24"/>
                <w:szCs w:val="24"/>
              </w:rPr>
            </w:pPr>
            <w:r>
              <w:rPr>
                <w:rFonts w:hAnsi="Times New Roman" w:cs="Times New Roman"/>
                <w:color w:val="000000"/>
                <w:sz w:val="24"/>
                <w:szCs w:val="24"/>
              </w:rPr>
              <w:t>Публикации методических разработок (в том числе в сети Интернет):</w:t>
            </w:r>
            <w:r>
              <w:br/>
            </w:r>
            <w:r>
              <w:rPr>
                <w:rFonts w:hAnsi="Times New Roman" w:cs="Times New Roman"/>
                <w:color w:val="000000"/>
                <w:sz w:val="24"/>
                <w:szCs w:val="24"/>
              </w:rPr>
              <w:t>Е.С. Буравчик «Как интегрировать внеурочную деятельность в образовательный процесс».</w:t>
            </w:r>
          </w:p>
          <w:p>
            <w:pPr>
              <w:spacing w:line="240" w:lineRule="auto"/>
              <w:rPr>
                <w:rFonts w:hAnsi="Times New Roman" w:cs="Times New Roman"/>
                <w:color w:val="000000"/>
                <w:sz w:val="24"/>
                <w:szCs w:val="24"/>
              </w:rPr>
            </w:pPr>
            <w:r>
              <w:rPr>
                <w:rFonts w:hAnsi="Times New Roman" w:cs="Times New Roman"/>
                <w:color w:val="000000"/>
                <w:sz w:val="24"/>
                <w:szCs w:val="24"/>
              </w:rPr>
              <w:t>Посещение вебинаров педагогами школы:</w:t>
            </w:r>
            <w:r>
              <w:br/>
            </w:r>
            <w:r>
              <w:rPr>
                <w:rFonts w:hAnsi="Times New Roman" w:cs="Times New Roman"/>
                <w:color w:val="000000"/>
                <w:sz w:val="24"/>
                <w:szCs w:val="24"/>
              </w:rPr>
              <w:t>Н.Л. Галеева «Как анализировать урок».</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2021 году школе был присвоен статус региональной инновационной площадки по теме </w:t>
            </w:r>
            <w:r>
              <w:rPr>
                <w:rFonts w:hAnsi="Times New Roman" w:cs="Times New Roman"/>
                <w:color w:val="000000"/>
                <w:sz w:val="24"/>
                <w:szCs w:val="24"/>
              </w:rPr>
              <w:t>«</w:t>
            </w:r>
            <w:r>
              <w:rPr>
                <w:rFonts w:hAnsi="Times New Roman" w:cs="Times New Roman"/>
                <w:color w:val="000000"/>
                <w:sz w:val="24"/>
                <w:szCs w:val="24"/>
              </w:rPr>
              <w:t>Формирование единого информационного пространства школы для достижения метапредметных результатов учащихся</w:t>
            </w:r>
            <w:r>
              <w:rPr>
                <w:rFonts w:hAnsi="Times New Roman" w:cs="Times New Roman"/>
                <w:color w:val="000000"/>
                <w:sz w:val="24"/>
                <w:szCs w:val="24"/>
              </w:rPr>
              <w:t>»</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Вывод:</w:t>
            </w:r>
            <w:r>
              <w:rPr>
                <w:rFonts w:hAnsi="Times New Roman" w:cs="Times New Roman"/>
                <w:color w:val="000000"/>
                <w:sz w:val="24"/>
                <w:szCs w:val="24"/>
              </w:rPr>
              <w:t xml:space="preserve"> констатируется оптимальный уровень творческой активности педагогов и эффективно спланированная методическая работа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Отрицательная динамика количества педагогов – призеров профессиональных конкурсов</w:t>
            </w:r>
          </w:p>
        </w:tc>
      </w:tr>
      <w:tr>
        <w:trPr>
          <w:trHeight w:val="36"/>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Выявлять, обобщать и распространять передовой педагогический опыт обучения и воспитания по вопросам эффективной работы (в том числе профориентационной) с учащимися разных категорий (высокомотивированными, слабоуспевающими и др.)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Для реализации поставленной задачи перед каждым руководителем ШМО в начале учебного года была поставлена задача выявить и обобщить педагогический опыт творчески работающих педагогов.</w:t>
            </w:r>
          </w:p>
          <w:p>
            <w:pPr>
              <w:spacing w:line="240" w:lineRule="auto"/>
              <w:rPr>
                <w:rFonts w:hAnsi="Times New Roman" w:cs="Times New Roman"/>
                <w:color w:val="000000"/>
                <w:sz w:val="24"/>
                <w:szCs w:val="24"/>
              </w:rPr>
            </w:pPr>
            <w:r>
              <w:rPr>
                <w:rFonts w:hAnsi="Times New Roman" w:cs="Times New Roman"/>
                <w:color w:val="000000"/>
                <w:sz w:val="24"/>
                <w:szCs w:val="24"/>
              </w:rPr>
              <w:t>На расширенном заседании МСШ руководители ШМО представляли результаты проделанной работы. Однако уровень решения данной задачи невысокий, так как обобщение опыта не носит системного характера, чаще эта работа индивидуализирована (опыт обобщается не на заседании ШМО, а на уровне учителя – руководителя ШМО).</w:t>
            </w:r>
          </w:p>
          <w:p>
            <w:pPr>
              <w:spacing w:line="240" w:lineRule="auto"/>
              <w:rPr>
                <w:rFonts w:hAnsi="Times New Roman" w:cs="Times New Roman"/>
                <w:color w:val="000000"/>
                <w:sz w:val="24"/>
                <w:szCs w:val="24"/>
              </w:rPr>
            </w:pPr>
            <w:r>
              <w:rPr>
                <w:rFonts w:hAnsi="Times New Roman" w:cs="Times New Roman"/>
                <w:b/>
                <w:bCs/>
                <w:color w:val="000000"/>
                <w:sz w:val="24"/>
                <w:szCs w:val="24"/>
              </w:rPr>
              <w:t>Вывод:</w:t>
            </w:r>
            <w:r>
              <w:rPr>
                <w:rFonts w:hAnsi="Times New Roman" w:cs="Times New Roman"/>
                <w:color w:val="000000"/>
                <w:sz w:val="24"/>
                <w:szCs w:val="24"/>
              </w:rPr>
              <w:t xml:space="preserve"> в целом данная задача решена на удовлетворительном уровне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Низкая мотивация отдельных педагогов к данному виду деятельности. Недостаточная активность педагогов по вопросу подготовки публикаций</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Стимулировать рост квалификации, профессионализма и продуктивности педагогического труда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 рамках совершенствования системы мотивации труда педагогов были подготовлены материалы для награждения лучших педагогов. Обновлена школьная Доска почета. Регулярно распределялся фонд стимулирования педагогов согласно их достижениям за определенный период. Все педагоги своевременно прошли курсы повышения квалификации, организованные на базе ГАОУ ДПО «КГИРО», летней школы при МГУ и др.</w:t>
            </w:r>
          </w:p>
          <w:p>
            <w:pPr>
              <w:spacing w:line="240" w:lineRule="auto"/>
              <w:rPr>
                <w:rFonts w:hAnsi="Times New Roman" w:cs="Times New Roman"/>
                <w:color w:val="000000"/>
                <w:sz w:val="24"/>
                <w:szCs w:val="24"/>
              </w:rPr>
            </w:pPr>
            <w:r>
              <w:rPr>
                <w:rFonts w:hAnsi="Times New Roman" w:cs="Times New Roman"/>
                <w:b/>
                <w:bCs/>
                <w:color w:val="000000"/>
                <w:sz w:val="24"/>
                <w:szCs w:val="24"/>
              </w:rPr>
              <w:t>Вывод:</w:t>
            </w:r>
            <w:r>
              <w:rPr>
                <w:rFonts w:hAnsi="Times New Roman" w:cs="Times New Roman"/>
                <w:color w:val="000000"/>
                <w:sz w:val="24"/>
                <w:szCs w:val="24"/>
              </w:rPr>
              <w:t xml:space="preserve"> в целом данная задача решена на удовлетворительном уровне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Недостаточное внимание к индивидуальной работе с отдельными педагогами</w:t>
            </w:r>
          </w:p>
        </w:tc>
      </w:tr>
    </w:tbl>
    <w:p>
      <w:pPr>
        <w:spacing w:line="240" w:lineRule="auto"/>
        <w:rPr>
          <w:rFonts w:hAnsi="Times New Roman" w:cs="Times New Roman"/>
          <w:color w:val="000000"/>
          <w:sz w:val="24"/>
          <w:szCs w:val="24"/>
        </w:rPr>
      </w:pP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035a30c0813143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