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 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посредством актуализации межпредметных связей в образовательном процессе.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Актуализация модели формирования функциональной грамотности педагогами школы.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 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учебных планах ООП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Учебные курсы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планах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график оценочных процедур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читательской грамотности – письменная работа на межпредметной основе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цифровой грамотности – практическая работа в сочетании с письменной (компьютеризованной) частью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Формирование базы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База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учебный год базы учителей, участвующих в формировании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по 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Участие в семинаре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выявления уровня сформированности функциональной грамотности у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письменной работы на межпредметной основе для проверки читательской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читательской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практической работы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 цифровой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3e4273f56744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