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социально-экономического профиля СОО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разработан в соответствии с требованиями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ФОП 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 2.4.3648-20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Количество часов по предметам рассчитано на уровень образования с учетом максимальной общей нагрузки при пятидневной учебной неделе и 68 учебных недель за два учебных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Социально-экономический профиль ориентирует на профессии, связанные с социальной сферой, финансами и экономикой, с обработкой информации, с такими сферами деятельности, как управление, предпринимательство, работа с финансами и др. В данном профиле для изучения на углубленном уровне выбираются учебные предметы преимущественно из предметных областей «Математика и информатика», «Общественно-научные предметы».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основу учебного плана положен вариант федерального учебного плана социально-экономического профиля с углубленным изучением обществознания и географии при пятидневной учебной неделе.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социально-экономического профиля обучения включает 13 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 предусматривает изучение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 учебных предметов на углубленном уровне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профиля строится с ориентацией на будущую сферу профессиональной деятельности с учетом предполагаемого продолжения образования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 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 начала математического анализа;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 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 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по выбору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СОЦИАЛЬНО-ЭКОНОМИЧЕСКОГО ПРОФИЛЯ СОО ПРИ ПЯТИДНЕВНОЙ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учебные недели)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11-й класс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 учебные недели) 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 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 начала математического анализа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 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 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в 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 два года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365f05c8c7940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